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5B" w:rsidRDefault="00174CB3" w:rsidP="006E58F5">
      <w:r>
        <w:t>PROP</w:t>
      </w:r>
      <w:bookmarkStart w:id="0" w:name="_GoBack"/>
      <w:bookmarkEnd w:id="0"/>
      <w:r>
        <w:t xml:space="preserve">OZYCJE KWESTII DO DYSKUSJI W RAMACH  </w:t>
      </w:r>
      <w:r w:rsidR="00D0615B">
        <w:t xml:space="preserve">SESJI </w:t>
      </w:r>
      <w:r w:rsidR="00D0615B">
        <w:rPr>
          <w:spacing w:val="-1"/>
        </w:rPr>
        <w:t xml:space="preserve">BADAŃ </w:t>
      </w:r>
      <w:r w:rsidR="00D0615B" w:rsidRPr="001A7ED6">
        <w:t>SPOŁECZN</w:t>
      </w:r>
      <w:r w:rsidR="00D0615B">
        <w:t>YCH</w:t>
      </w:r>
      <w:r>
        <w:t xml:space="preserve"> I BEHAWIORALNYCH</w:t>
      </w:r>
    </w:p>
    <w:p w:rsidR="0028277E" w:rsidRDefault="0028277E" w:rsidP="0028277E">
      <w:r>
        <w:rPr>
          <w:lang w:val="de-CH"/>
        </w:rPr>
        <w:t xml:space="preserve">Jedną z </w:t>
      </w:r>
      <w:r w:rsidRPr="00FB149D">
        <w:rPr>
          <w:lang w:val="de-CH"/>
        </w:rPr>
        <w:t>podstawow</w:t>
      </w:r>
      <w:r>
        <w:rPr>
          <w:lang w:val="de-CH"/>
        </w:rPr>
        <w:t xml:space="preserve">ych </w:t>
      </w:r>
      <w:r w:rsidRPr="00FB149D">
        <w:t>reguł</w:t>
      </w:r>
      <w:r>
        <w:rPr>
          <w:lang w:val="de-CH"/>
        </w:rPr>
        <w:t xml:space="preserve"> etyki </w:t>
      </w:r>
      <w:r w:rsidRPr="00FB149D">
        <w:rPr>
          <w:spacing w:val="-1"/>
        </w:rPr>
        <w:t xml:space="preserve">badań </w:t>
      </w:r>
      <w:r w:rsidRPr="00FB149D">
        <w:rPr>
          <w:lang w:val="de-CH"/>
        </w:rPr>
        <w:t>naukow</w:t>
      </w:r>
      <w:r>
        <w:rPr>
          <w:lang w:val="de-CH"/>
        </w:rPr>
        <w:t xml:space="preserve">ych </w:t>
      </w:r>
      <w:r w:rsidRPr="00FB149D">
        <w:rPr>
          <w:lang w:val="de-CH"/>
        </w:rPr>
        <w:t>jest</w:t>
      </w:r>
      <w:r>
        <w:rPr>
          <w:lang w:val="de-CH"/>
        </w:rPr>
        <w:t xml:space="preserve"> </w:t>
      </w:r>
      <w:r w:rsidRPr="00FB149D">
        <w:rPr>
          <w:lang w:val="de-CH"/>
        </w:rPr>
        <w:t>zasad</w:t>
      </w:r>
      <w:r>
        <w:rPr>
          <w:lang w:val="de-CH"/>
        </w:rPr>
        <w:t xml:space="preserve">a poszanowania prawa ich </w:t>
      </w:r>
      <w:r w:rsidRPr="00FB149D">
        <w:t>uczestnik</w:t>
      </w:r>
      <w:r>
        <w:rPr>
          <w:lang w:val="de-CH"/>
        </w:rPr>
        <w:t xml:space="preserve">ów do </w:t>
      </w:r>
      <w:r w:rsidRPr="00FB149D">
        <w:rPr>
          <w:lang w:val="de-CH"/>
        </w:rPr>
        <w:t>prywatn</w:t>
      </w:r>
      <w:r>
        <w:rPr>
          <w:lang w:val="de-CH"/>
        </w:rPr>
        <w:t xml:space="preserve">ości, </w:t>
      </w:r>
      <w:r w:rsidRPr="00FB149D">
        <w:t>czy też</w:t>
      </w:r>
      <w:r>
        <w:rPr>
          <w:lang w:val="de-CH"/>
        </w:rPr>
        <w:t xml:space="preserve"> do kontroli </w:t>
      </w:r>
      <w:r>
        <w:t>osobistych</w:t>
      </w:r>
      <w:r>
        <w:rPr>
          <w:lang w:val="de-CH"/>
        </w:rPr>
        <w:t xml:space="preserve"> danych. Zgodnie z </w:t>
      </w:r>
      <w:r w:rsidRPr="00FB149D">
        <w:rPr>
          <w:lang w:val="de-CH"/>
        </w:rPr>
        <w:t>tradycyjn</w:t>
      </w:r>
      <w:r>
        <w:rPr>
          <w:lang w:val="de-CH"/>
        </w:rPr>
        <w:t xml:space="preserve">ym </w:t>
      </w:r>
      <w:r w:rsidRPr="00FB149D">
        <w:rPr>
          <w:lang w:val="de-CH"/>
        </w:rPr>
        <w:t>normatywn</w:t>
      </w:r>
      <w:r>
        <w:rPr>
          <w:lang w:val="de-CH"/>
        </w:rPr>
        <w:t xml:space="preserve">ym modelem, do niedawna </w:t>
      </w:r>
      <w:r w:rsidRPr="00FB149D">
        <w:rPr>
          <w:lang w:val="de-CH"/>
        </w:rPr>
        <w:t>jeszcze</w:t>
      </w:r>
      <w:r>
        <w:rPr>
          <w:lang w:val="de-CH"/>
        </w:rPr>
        <w:t xml:space="preserve"> (a </w:t>
      </w:r>
      <w:r w:rsidRPr="00FB149D">
        <w:t>moż</w:t>
      </w:r>
      <w:r>
        <w:t>e</w:t>
      </w:r>
      <w:r>
        <w:rPr>
          <w:lang w:val="de-CH"/>
        </w:rPr>
        <w:t xml:space="preserve"> i nadal?) </w:t>
      </w:r>
      <w:r w:rsidRPr="00FB149D">
        <w:rPr>
          <w:lang w:val="de-CH"/>
        </w:rPr>
        <w:t>obowiąz</w:t>
      </w:r>
      <w:r>
        <w:rPr>
          <w:lang w:val="de-CH"/>
        </w:rPr>
        <w:t xml:space="preserve">ującym </w:t>
      </w:r>
      <w:r w:rsidRPr="00FB149D">
        <w:t>także</w:t>
      </w:r>
      <w:r>
        <w:rPr>
          <w:lang w:val="de-CH"/>
        </w:rPr>
        <w:t xml:space="preserve"> w polskim prawie, aby uczynić zadość tej </w:t>
      </w:r>
      <w:r w:rsidRPr="00FB149D">
        <w:rPr>
          <w:lang w:val="de-CH"/>
        </w:rPr>
        <w:t>zasad</w:t>
      </w:r>
      <w:r>
        <w:rPr>
          <w:lang w:val="de-CH"/>
        </w:rPr>
        <w:t xml:space="preserve">zie przy </w:t>
      </w:r>
      <w:r w:rsidRPr="00FB149D">
        <w:rPr>
          <w:lang w:val="de-CH"/>
        </w:rPr>
        <w:t>przetwarzani</w:t>
      </w:r>
      <w:r>
        <w:rPr>
          <w:lang w:val="de-CH"/>
        </w:rPr>
        <w:t xml:space="preserve">u danych </w:t>
      </w:r>
      <w:r w:rsidRPr="00FB149D">
        <w:rPr>
          <w:lang w:val="de-CH"/>
        </w:rPr>
        <w:t>osobow</w:t>
      </w:r>
      <w:r>
        <w:rPr>
          <w:lang w:val="de-CH"/>
        </w:rPr>
        <w:t xml:space="preserve">ych do celów </w:t>
      </w:r>
      <w:r w:rsidRPr="00FB149D">
        <w:t>badawcz</w:t>
      </w:r>
      <w:r>
        <w:rPr>
          <w:lang w:val="de-CH"/>
        </w:rPr>
        <w:t xml:space="preserve">ych, </w:t>
      </w:r>
      <w:r w:rsidRPr="00FB149D">
        <w:t>należ</w:t>
      </w:r>
      <w:r>
        <w:rPr>
          <w:lang w:val="de-CH"/>
        </w:rPr>
        <w:t xml:space="preserve">ało </w:t>
      </w:r>
      <w:r w:rsidRPr="00FB149D">
        <w:t>spełni</w:t>
      </w:r>
      <w:r>
        <w:rPr>
          <w:lang w:val="de-CH"/>
        </w:rPr>
        <w:t xml:space="preserve">ć jeden z </w:t>
      </w:r>
      <w:r w:rsidR="00B428E3">
        <w:rPr>
          <w:lang w:val="de-CH"/>
        </w:rPr>
        <w:t xml:space="preserve">dwóch </w:t>
      </w:r>
      <w:r>
        <w:rPr>
          <w:lang w:val="de-CH"/>
        </w:rPr>
        <w:t xml:space="preserve">warunków: albo uzyskać </w:t>
      </w:r>
      <w:r w:rsidRPr="00FB149D">
        <w:t>świadom</w:t>
      </w:r>
      <w:r>
        <w:rPr>
          <w:lang w:val="de-CH"/>
        </w:rPr>
        <w:t xml:space="preserve">ą i </w:t>
      </w:r>
      <w:r w:rsidRPr="00FB149D">
        <w:rPr>
          <w:szCs w:val="24"/>
          <w:lang w:val="en"/>
        </w:rPr>
        <w:t>dobrowoln</w:t>
      </w:r>
      <w:r>
        <w:rPr>
          <w:lang w:val="de-CH"/>
        </w:rPr>
        <w:t xml:space="preserve">ą zgodę osoby, której te dane dotyczą, albo też zadbać o ich anonimowość (tzn. niemożliwość ustalenia z ich pomocą </w:t>
      </w:r>
      <w:r w:rsidRPr="002854F6">
        <w:rPr>
          <w:lang w:val="de-CH"/>
        </w:rPr>
        <w:t>tożsam</w:t>
      </w:r>
      <w:r>
        <w:rPr>
          <w:lang w:val="de-CH"/>
        </w:rPr>
        <w:t xml:space="preserve">ości tej osoby). Ten dychotomiczny wymóg – albo </w:t>
      </w:r>
      <w:r w:rsidRPr="002854F6">
        <w:t>świadom</w:t>
      </w:r>
      <w:r>
        <w:rPr>
          <w:lang w:val="de-CH"/>
        </w:rPr>
        <w:t xml:space="preserve">a zgoda, albo </w:t>
      </w:r>
      <w:r w:rsidRPr="002854F6">
        <w:t>całkowit</w:t>
      </w:r>
      <w:r>
        <w:rPr>
          <w:lang w:val="de-CH"/>
        </w:rPr>
        <w:t xml:space="preserve">a </w:t>
      </w:r>
      <w:r w:rsidRPr="002854F6">
        <w:rPr>
          <w:szCs w:val="24"/>
          <w:lang w:val="de-CH"/>
        </w:rPr>
        <w:t>anonimizacj</w:t>
      </w:r>
      <w:r>
        <w:rPr>
          <w:lang w:val="de-CH"/>
        </w:rPr>
        <w:t xml:space="preserve">a – krępował </w:t>
      </w:r>
      <w:r w:rsidRPr="002854F6">
        <w:rPr>
          <w:lang w:val="de-CH"/>
        </w:rPr>
        <w:t>jednak</w:t>
      </w:r>
      <w:r>
        <w:rPr>
          <w:lang w:val="de-CH"/>
        </w:rPr>
        <w:t xml:space="preserve"> swobodę i obniżał </w:t>
      </w:r>
      <w:r w:rsidRPr="002854F6">
        <w:rPr>
          <w:lang w:val="de-CH"/>
        </w:rPr>
        <w:t>wartość</w:t>
      </w:r>
      <w:r>
        <w:rPr>
          <w:lang w:val="de-CH"/>
        </w:rPr>
        <w:t xml:space="preserve"> wielu ważnych </w:t>
      </w:r>
      <w:r w:rsidRPr="002854F6">
        <w:rPr>
          <w:lang w:val="de-CH"/>
        </w:rPr>
        <w:t>rodzaj</w:t>
      </w:r>
      <w:r>
        <w:rPr>
          <w:lang w:val="de-CH"/>
        </w:rPr>
        <w:t xml:space="preserve">ów </w:t>
      </w:r>
      <w:r w:rsidRPr="002854F6">
        <w:rPr>
          <w:spacing w:val="-1"/>
        </w:rPr>
        <w:t>badań</w:t>
      </w:r>
      <w:r>
        <w:rPr>
          <w:lang w:val="de-CH"/>
        </w:rPr>
        <w:t xml:space="preserve">, </w:t>
      </w:r>
      <w:r w:rsidRPr="008E3A65">
        <w:t>zarówno</w:t>
      </w:r>
      <w:r>
        <w:rPr>
          <w:lang w:val="de-CH"/>
        </w:rPr>
        <w:t xml:space="preserve"> w naukach </w:t>
      </w:r>
      <w:r w:rsidRPr="008E3A65">
        <w:t>biomedyczn</w:t>
      </w:r>
      <w:r>
        <w:t xml:space="preserve">ych, jak i </w:t>
      </w:r>
      <w:r w:rsidRPr="001A7ED6">
        <w:t>społeczn</w:t>
      </w:r>
      <w:r>
        <w:t>ych lub behawioralnych</w:t>
      </w:r>
      <w:r>
        <w:rPr>
          <w:lang w:val="de-CH"/>
        </w:rPr>
        <w:t xml:space="preserve">, tak iż był z </w:t>
      </w:r>
      <w:r w:rsidRPr="002854F6">
        <w:t>różn</w:t>
      </w:r>
      <w:r>
        <w:rPr>
          <w:lang w:val="de-CH"/>
        </w:rPr>
        <w:t xml:space="preserve">ych stron </w:t>
      </w:r>
      <w:r w:rsidRPr="002854F6">
        <w:rPr>
          <w:lang w:val="de-CH"/>
        </w:rPr>
        <w:t>krytyk</w:t>
      </w:r>
      <w:r>
        <w:rPr>
          <w:lang w:val="de-CH"/>
        </w:rPr>
        <w:t xml:space="preserve">owany. </w:t>
      </w:r>
      <w:r>
        <w:rPr>
          <w:szCs w:val="24"/>
        </w:rPr>
        <w:t xml:space="preserve">Unijne rozporządzenie </w:t>
      </w:r>
      <w:r w:rsidRPr="0064159A">
        <w:t>2016/679</w:t>
      </w:r>
      <w:r>
        <w:t xml:space="preserve"> (RODO) w pewnej mierze przychyla się do tej krytyki, ponieważ orzeka, że wykorzystywanie osobowych – a więc z definicji (art. 4) nieanonimowych – danych do celów badawczych może opierać się nie tylko na (trudnej często do uzyskania) pełnowartościowej zgodzie osoby, której te dane dotyczą, lecz także na innej podstawie (art. 9.2). Zgodnie z nowszą wykładnią, przedstawioną w Opinii</w:t>
      </w:r>
      <w:r w:rsidRPr="00FE6E5F">
        <w:t xml:space="preserve"> nr 3/2019</w:t>
      </w:r>
      <w:r>
        <w:t xml:space="preserve"> Europejskiej Rady</w:t>
      </w:r>
      <w:r w:rsidRPr="00FE6E5F">
        <w:t xml:space="preserve"> Ochrony Danych</w:t>
      </w:r>
      <w:r>
        <w:t xml:space="preserve">, ta alternatywna podstawa, uprawniająca do </w:t>
      </w:r>
      <w:r>
        <w:rPr>
          <w:spacing w:val="-1"/>
        </w:rPr>
        <w:t xml:space="preserve">badań </w:t>
      </w:r>
      <w:r>
        <w:t xml:space="preserve">naukowych wykorzystujących dane osoby, która nie udzieliła zgody na ich przetwarzanie, może być jeszcze dwojaka: będzie nią </w:t>
      </w:r>
      <w:r>
        <w:rPr>
          <w:lang w:val="de-CH"/>
        </w:rPr>
        <w:t>bądź</w:t>
      </w:r>
      <w:r>
        <w:t xml:space="preserve"> to „interes publiczny”, </w:t>
      </w:r>
      <w:r>
        <w:rPr>
          <w:lang w:val="de-CH"/>
        </w:rPr>
        <w:t>bądź</w:t>
      </w:r>
      <w:r>
        <w:t xml:space="preserve"> to „uprawniony interes administratora”, ma się rozumieć w jednym i drugim wypadku obwarowany szeregiem środków zabezpieczających. Niestety, ani „interes publiczny”, ani „uprawniony interes administratora” nie jest w rozporządzeniu </w:t>
      </w:r>
      <w:r w:rsidRPr="0064159A">
        <w:t>2016/679</w:t>
      </w:r>
      <w:r>
        <w:t xml:space="preserve"> wyraźnie zdefiniowany. Niedookreślone są również owe zabezpieczenia (</w:t>
      </w:r>
      <w:r w:rsidRPr="008E3A65">
        <w:rPr>
          <w:i/>
        </w:rPr>
        <w:t>safeguards</w:t>
      </w:r>
      <w:r>
        <w:t xml:space="preserve">) – ujmowane nieraz (por. art. 89) jako sposoby „minimalizacji” przetwarzanych danych – które musi wdrożyć badacz wykorzystujący dane jakiejś osoby bez jej aktualnej lub uprzedniej zgody. Unijne rozporządzenie pozostawia w tym względzie państwom członkowskim - nie tylko upoważnianym, ale wręcz zachęcanym do wprowadzania własnych uściśleń lub odstępstw – dużą swobodę interpretacyjną i aplikacyjną. Skoro jednak przepisy RODO, dotyczące ochrony danych w badaniach naukowych mogą być rozumiane i stosowane w rozmaity sposób, to sami badacze - reprezentujący różne gałęzie nauki - powinni przede wszystkim naradzić się nad tym, jaki sposób ich rozumienia i stosowania będzie najbardziej właściwy, tj. najlepiej służący celom wartościowych </w:t>
      </w:r>
      <w:r>
        <w:rPr>
          <w:spacing w:val="-1"/>
        </w:rPr>
        <w:t xml:space="preserve">badań </w:t>
      </w:r>
      <w:r>
        <w:t>naukowych (choć równocześnie nienaruszający praw ich uczestników). Planowana konferencja ma dawać sposobność do takiej szerokiej, interdyscyplinarnej narady.</w:t>
      </w:r>
    </w:p>
    <w:p w:rsidR="0028277E" w:rsidRDefault="0028277E" w:rsidP="006E58F5"/>
    <w:p w:rsidR="006E58F5" w:rsidRDefault="001A2ABF" w:rsidP="006E58F5">
      <w:r w:rsidRPr="00B90304">
        <w:lastRenderedPageBreak/>
        <w:t xml:space="preserve">W ramach organizowanej konferencji przewiduje się również sesję poświęconą ochronie danych w badaniach społecznych i behawioralnych. </w:t>
      </w:r>
      <w:r w:rsidR="005867B5" w:rsidRPr="00B90304">
        <w:t xml:space="preserve">Jest kwestią sporną, czy swoista misja i metodologia </w:t>
      </w:r>
      <w:r w:rsidR="008872D2">
        <w:t>tej</w:t>
      </w:r>
      <w:r w:rsidR="00D0615B">
        <w:t xml:space="preserve"> gałęzi</w:t>
      </w:r>
      <w:r w:rsidR="005867B5" w:rsidRPr="00B90304">
        <w:t xml:space="preserve"> nauk jest należycie uwzględniana w obecnych regulacjach prawnych, a zwłaszcza w rozporządzeniu 2016/679. </w:t>
      </w:r>
      <w:r w:rsidR="00B4721E" w:rsidRPr="00B90304">
        <w:t>Wątpliwości co do tego zgłaszano już w faz</w:t>
      </w:r>
      <w:r w:rsidR="00B90304">
        <w:t xml:space="preserve">ie konsultacji norm i przepisów, które miały się znaleźć </w:t>
      </w:r>
      <w:r w:rsidR="00B4721E" w:rsidRPr="00B90304">
        <w:t xml:space="preserve">w tym </w:t>
      </w:r>
      <w:r w:rsidR="00FB56F7">
        <w:t>długo układanym</w:t>
      </w:r>
      <w:r w:rsidR="00B4721E" w:rsidRPr="00B90304">
        <w:t xml:space="preserve"> akcie. W szczególności dała im wyraz brytyjska Rada do spraw Badań Ekonomicznych i Społecznych (The Economic and Social Research Council, ESRC)</w:t>
      </w:r>
      <w:r w:rsidR="00572A59" w:rsidRPr="00B90304">
        <w:t xml:space="preserve">, </w:t>
      </w:r>
      <w:r w:rsidR="00D0615B">
        <w:t>upominając</w:t>
      </w:r>
      <w:r w:rsidR="00572A59" w:rsidRPr="00B90304">
        <w:t xml:space="preserve"> się o to, aby w artykule, w którym ochronę danych osobowych starano się pogodzić z „wolnością wypowiedzi i informacji”</w:t>
      </w:r>
      <w:r w:rsidR="004116DC">
        <w:t xml:space="preserve"> (obecnie art. 85)</w:t>
      </w:r>
      <w:r w:rsidR="00572A59" w:rsidRPr="00B90304">
        <w:t>, oprócz wypowiedzi dziennikarskiej</w:t>
      </w:r>
      <w:r w:rsidR="007C1295" w:rsidRPr="00B90304">
        <w:t>,</w:t>
      </w:r>
      <w:r w:rsidR="00572A59" w:rsidRPr="00B90304">
        <w:t xml:space="preserve"> artystycznej lub literackiej uwzględniono też – pomijaną w nim </w:t>
      </w:r>
      <w:r w:rsidR="00D0615B">
        <w:t>początkowo</w:t>
      </w:r>
      <w:r w:rsidR="00572A59" w:rsidRPr="00B90304">
        <w:t xml:space="preserve"> – wypowiedź akademicką. </w:t>
      </w:r>
      <w:r w:rsidR="00C238F5" w:rsidRPr="00B90304">
        <w:t xml:space="preserve">Ta propozycja </w:t>
      </w:r>
      <w:r w:rsidR="007C1295" w:rsidRPr="00B90304">
        <w:t>ESRC</w:t>
      </w:r>
      <w:r w:rsidR="00C238F5" w:rsidRPr="00B90304">
        <w:t xml:space="preserve"> została </w:t>
      </w:r>
      <w:r w:rsidR="00F66741">
        <w:t>zaakceptowana</w:t>
      </w:r>
      <w:r w:rsidR="00C238F5" w:rsidRPr="00B90304">
        <w:t xml:space="preserve">, tak iż w obecnej wersji wspomniany artykuł </w:t>
      </w:r>
      <w:r w:rsidR="008B2A6C">
        <w:t xml:space="preserve">jest już </w:t>
      </w:r>
      <w:r w:rsidR="00FC53A5">
        <w:t>pojemniejszy</w:t>
      </w:r>
      <w:r w:rsidR="008B2A6C">
        <w:t xml:space="preserve">: </w:t>
      </w:r>
      <w:r w:rsidR="00C238F5" w:rsidRPr="00B90304">
        <w:t xml:space="preserve">upoważnia państwa członkowskie, aby </w:t>
      </w:r>
      <w:r w:rsidR="000920AE" w:rsidRPr="00B90304">
        <w:t xml:space="preserve">ograniczając rygory nakładane na przetwarzanie danych osobowych – w tym również danych osób uczestniczących w badaniach – wprowadziły </w:t>
      </w:r>
      <w:r w:rsidR="006F3DE0" w:rsidRPr="00B90304">
        <w:t>także</w:t>
      </w:r>
      <w:r w:rsidR="000920AE" w:rsidRPr="00B90304">
        <w:t xml:space="preserve"> ograniczenia konieczne do</w:t>
      </w:r>
      <w:r w:rsidR="004E590F">
        <w:t xml:space="preserve"> zagwarantowania wolności</w:t>
      </w:r>
      <w:r w:rsidR="000920AE" w:rsidRPr="00B90304">
        <w:t xml:space="preserve"> tego typu wypowiedzi. </w:t>
      </w:r>
      <w:r w:rsidR="00CE4468" w:rsidRPr="00B90304">
        <w:t>A polski prawodawca w nowej ustawie z dnia 10 maja 2018 r. o ochronie danych osobowych czyni</w:t>
      </w:r>
      <w:r w:rsidR="0074697A" w:rsidRPr="00B90304">
        <w:t xml:space="preserve"> formalnie</w:t>
      </w:r>
      <w:r w:rsidR="00CE4468" w:rsidRPr="00B90304">
        <w:t xml:space="preserve"> użytek z tego upoważnienia, ponieważ </w:t>
      </w:r>
      <w:r w:rsidR="00AA6C0A">
        <w:t>(w art.2.2</w:t>
      </w:r>
      <w:r w:rsidR="006F3DE0" w:rsidRPr="00B90304">
        <w:t xml:space="preserve">) </w:t>
      </w:r>
      <w:r w:rsidR="00F66741">
        <w:t>ogłasza</w:t>
      </w:r>
      <w:r w:rsidR="00CE4468" w:rsidRPr="00B90304">
        <w:t>, że</w:t>
      </w:r>
      <w:r w:rsidR="00D0615B">
        <w:t xml:space="preserve"> kilku</w:t>
      </w:r>
      <w:r w:rsidR="00CE4468" w:rsidRPr="00B90304">
        <w:t xml:space="preserve"> </w:t>
      </w:r>
      <w:r w:rsidR="006F3DE0" w:rsidRPr="00B90304">
        <w:t xml:space="preserve">najbardziej kłopotliwych </w:t>
      </w:r>
      <w:r w:rsidR="00CE4468" w:rsidRPr="00B90304">
        <w:t xml:space="preserve">przepisów rozporządzenia 2016/679, </w:t>
      </w:r>
      <w:r w:rsidR="00D025B5" w:rsidRPr="00B90304">
        <w:t>krępujących swobodę przetwarzania danych,</w:t>
      </w:r>
      <w:r w:rsidR="006F3DE0" w:rsidRPr="00B90304">
        <w:t xml:space="preserve"> nie stosuje się do </w:t>
      </w:r>
      <w:r w:rsidR="00AA6C0A">
        <w:t>„</w:t>
      </w:r>
      <w:r w:rsidR="006F3DE0" w:rsidRPr="00B90304">
        <w:t>wypowiedzi akademickiej</w:t>
      </w:r>
      <w:r w:rsidR="00AA6C0A">
        <w:t>”</w:t>
      </w:r>
      <w:r w:rsidR="006F3DE0" w:rsidRPr="00B90304">
        <w:t xml:space="preserve">. </w:t>
      </w:r>
      <w:r w:rsidR="00D025B5" w:rsidRPr="00B90304">
        <w:t xml:space="preserve">Jest jednak </w:t>
      </w:r>
      <w:r w:rsidR="0074697A" w:rsidRPr="00B90304">
        <w:t>zrozumiałe</w:t>
      </w:r>
      <w:r w:rsidR="00D025B5" w:rsidRPr="00B90304">
        <w:t xml:space="preserve">, że uchylając ważność tych </w:t>
      </w:r>
      <w:r w:rsidR="00AA6C0A">
        <w:t>rygorów</w:t>
      </w:r>
      <w:r w:rsidR="00D025B5" w:rsidRPr="00B90304">
        <w:t xml:space="preserve">, </w:t>
      </w:r>
      <w:r w:rsidR="00DA7526" w:rsidRPr="00B90304">
        <w:t xml:space="preserve">chroniących prawa osób, których dane się przetwarza, uchwalona </w:t>
      </w:r>
      <w:r w:rsidR="00502ABC">
        <w:t>derogacja</w:t>
      </w:r>
      <w:r w:rsidR="00DA7526" w:rsidRPr="00B90304">
        <w:t xml:space="preserve"> nie </w:t>
      </w:r>
      <w:r w:rsidR="00AA6C0A">
        <w:t>podpisuje się pod anarchistycznym</w:t>
      </w:r>
      <w:r w:rsidR="00DA7526" w:rsidRPr="00B90304">
        <w:t xml:space="preserve"> </w:t>
      </w:r>
      <w:r w:rsidR="00AA6C0A">
        <w:t>hasłem</w:t>
      </w:r>
      <w:r w:rsidR="00DA7526" w:rsidRPr="00B90304">
        <w:t>: w akademickie</w:t>
      </w:r>
      <w:r w:rsidR="00AA6C0A">
        <w:t>j nauce wszystko jest dozwolone.</w:t>
      </w:r>
      <w:r w:rsidR="00DA7526" w:rsidRPr="00B90304">
        <w:t xml:space="preserve"> </w:t>
      </w:r>
      <w:r w:rsidR="00AA6C0A" w:rsidRPr="00B90304">
        <w:t xml:space="preserve">Pozwalając </w:t>
      </w:r>
      <w:r w:rsidR="00F66741">
        <w:t xml:space="preserve">wyjątkowo </w:t>
      </w:r>
      <w:r w:rsidR="00DA7526" w:rsidRPr="00B90304">
        <w:t>odstępować od tak ważnych praw, jak prawo os</w:t>
      </w:r>
      <w:r w:rsidR="00502ABC">
        <w:t>oby, której dane się przetwarza</w:t>
      </w:r>
      <w:r w:rsidR="00DA7526" w:rsidRPr="00B90304">
        <w:t xml:space="preserve"> do otrzymania informacji o tym przetwarzaniu</w:t>
      </w:r>
      <w:r w:rsidR="00AA6C0A">
        <w:t xml:space="preserve"> (art. 13)</w:t>
      </w:r>
      <w:r w:rsidR="00DA7526" w:rsidRPr="00B90304">
        <w:t xml:space="preserve"> lub do jego ograniczenia</w:t>
      </w:r>
      <w:r w:rsidR="00AA6C0A">
        <w:t xml:space="preserve"> (art. 18)</w:t>
      </w:r>
      <w:r w:rsidR="00DA7526" w:rsidRPr="00B90304">
        <w:t>, dopuszcza ona te</w:t>
      </w:r>
      <w:r w:rsidR="00F66741">
        <w:t xml:space="preserve"> wyjątki i</w:t>
      </w:r>
      <w:r w:rsidR="00DA7526" w:rsidRPr="00B90304">
        <w:t xml:space="preserve"> odstępstwa tylko pod warunkiem, że są naprawdę konieczne dla</w:t>
      </w:r>
      <w:r w:rsidR="007C1295" w:rsidRPr="00B90304">
        <w:t xml:space="preserve"> </w:t>
      </w:r>
      <w:r w:rsidR="00F66741">
        <w:t xml:space="preserve">jakiegoś </w:t>
      </w:r>
      <w:r w:rsidR="00F66741" w:rsidRPr="001A7ED6">
        <w:t>społeczn</w:t>
      </w:r>
      <w:r w:rsidR="00F66741">
        <w:t>ie ważnego zadania</w:t>
      </w:r>
      <w:r w:rsidR="00DA7526" w:rsidRPr="00B90304">
        <w:t>, a w tym wypadku do</w:t>
      </w:r>
      <w:r w:rsidR="007C1295" w:rsidRPr="00B90304">
        <w:t xml:space="preserve"> stosowania właściwych metod i osiągania</w:t>
      </w:r>
      <w:r w:rsidR="00DA7526" w:rsidRPr="00B90304">
        <w:t xml:space="preserve"> uprawnionych celów badań naukowych. Tym samym</w:t>
      </w:r>
      <w:r w:rsidR="0074697A" w:rsidRPr="00B90304">
        <w:t xml:space="preserve"> jednak</w:t>
      </w:r>
      <w:r w:rsidR="00DA7526" w:rsidRPr="00B90304">
        <w:t xml:space="preserve"> jej praktyczne następstwa nie są</w:t>
      </w:r>
      <w:r w:rsidR="00FC53A5">
        <w:t xml:space="preserve"> dla nauk </w:t>
      </w:r>
      <w:r w:rsidR="00FC53A5" w:rsidRPr="001A7ED6">
        <w:t>społeczn</w:t>
      </w:r>
      <w:r w:rsidR="00FC53A5">
        <w:t>ych</w:t>
      </w:r>
      <w:r w:rsidR="007C1295" w:rsidRPr="00B90304">
        <w:t xml:space="preserve"> </w:t>
      </w:r>
      <w:r w:rsidR="0074697A" w:rsidRPr="00B90304">
        <w:t xml:space="preserve">tak </w:t>
      </w:r>
      <w:r w:rsidR="007C1295" w:rsidRPr="00B90304">
        <w:t>całkiem bezpieczne ani</w:t>
      </w:r>
      <w:r w:rsidR="00DA7526" w:rsidRPr="00B90304">
        <w:t xml:space="preserve"> jednoznaczne, ponieważ </w:t>
      </w:r>
      <w:r w:rsidR="007C1295" w:rsidRPr="00B90304">
        <w:t xml:space="preserve">zarówno „właściwe metody”, jak i „uprawnione cele” badań naukowych wymagają jeszcze jakiejś interpretacji, a przedstawiciele </w:t>
      </w:r>
      <w:r w:rsidR="00FC53A5">
        <w:t>tych dyscyplin</w:t>
      </w:r>
      <w:r w:rsidR="007C1295" w:rsidRPr="00B90304">
        <w:t xml:space="preserve"> mogą się obawiać, że będą</w:t>
      </w:r>
      <w:r w:rsidR="00FC53A5">
        <w:t xml:space="preserve"> one</w:t>
      </w:r>
      <w:r w:rsidR="007C1295" w:rsidRPr="00B90304">
        <w:t xml:space="preserve"> interpretowane</w:t>
      </w:r>
      <w:r w:rsidR="00AA6C0A">
        <w:t xml:space="preserve"> raczej</w:t>
      </w:r>
      <w:r w:rsidR="007C1295" w:rsidRPr="00B90304">
        <w:t xml:space="preserve"> zgodnie z</w:t>
      </w:r>
      <w:r w:rsidR="0074697A" w:rsidRPr="00B90304">
        <w:t xml:space="preserve"> </w:t>
      </w:r>
      <w:r w:rsidR="006E58F5" w:rsidRPr="00B90304">
        <w:t>normatywnym</w:t>
      </w:r>
      <w:r w:rsidR="007C1295" w:rsidRPr="00B90304">
        <w:t xml:space="preserve"> modelem nauk biomedycznych. </w:t>
      </w:r>
      <w:r w:rsidR="0003595D">
        <w:t xml:space="preserve">Te </w:t>
      </w:r>
      <w:r w:rsidR="00FC53A5" w:rsidRPr="00B90304">
        <w:t xml:space="preserve">z kolei </w:t>
      </w:r>
      <w:r w:rsidR="0003595D">
        <w:t>obawy znalazły</w:t>
      </w:r>
      <w:r w:rsidR="006E58F5" w:rsidRPr="00B90304">
        <w:t xml:space="preserve"> wyraz we wspólnej opinii (</w:t>
      </w:r>
      <w:r w:rsidR="00F66741" w:rsidRPr="00F66741">
        <w:rPr>
          <w:i/>
        </w:rPr>
        <w:t>joint submiss</w:t>
      </w:r>
      <w:r w:rsidR="00F66741" w:rsidRPr="00B90304">
        <w:t>ion</w:t>
      </w:r>
      <w:r w:rsidR="006E58F5" w:rsidRPr="00B90304">
        <w:t>), skierowanej w 2017 r. do rządu brytyjskiego przez ESRC i</w:t>
      </w:r>
      <w:r w:rsidR="0003595D">
        <w:t xml:space="preserve"> przez Brytyjską Akademię Nauk Hu</w:t>
      </w:r>
      <w:r w:rsidR="006E58F5" w:rsidRPr="00B90304">
        <w:t xml:space="preserve">manistycznych i Społecznych. W dokumencie tym zwraca się uwagę, że normy </w:t>
      </w:r>
      <w:r w:rsidR="008B2A6C">
        <w:t>stojące na straży praw i interesów</w:t>
      </w:r>
      <w:r w:rsidR="00D66305">
        <w:t xml:space="preserve"> osób,</w:t>
      </w:r>
      <w:r w:rsidR="006E58F5" w:rsidRPr="00B90304">
        <w:t xml:space="preserve"> </w:t>
      </w:r>
      <w:r w:rsidR="00D66305">
        <w:t xml:space="preserve">które włącza się do (bardziej </w:t>
      </w:r>
      <w:r w:rsidR="0003595D">
        <w:t>częstokroć</w:t>
      </w:r>
      <w:r w:rsidR="00D66305">
        <w:t xml:space="preserve"> „inwazyjnych”) </w:t>
      </w:r>
      <w:r w:rsidR="00D66305">
        <w:rPr>
          <w:spacing w:val="-1"/>
        </w:rPr>
        <w:t>badań</w:t>
      </w:r>
      <w:r w:rsidR="006E58F5" w:rsidRPr="00B90304">
        <w:t xml:space="preserve"> prowadzonych w biomedycynie nie </w:t>
      </w:r>
      <w:r w:rsidR="00D66305">
        <w:t>całkiem</w:t>
      </w:r>
      <w:r w:rsidR="006E58F5" w:rsidRPr="00B90304">
        <w:t xml:space="preserve"> nadają się do zastosowania w naukach społecznych i humanistycznych. Jak zaznaczają jego sygnatariusze,</w:t>
      </w:r>
      <w:r w:rsidR="00B90304" w:rsidRPr="00B90304">
        <w:t xml:space="preserve"> zwłaszcza w </w:t>
      </w:r>
      <w:r w:rsidR="00B90304" w:rsidRPr="00B90304">
        <w:rPr>
          <w:lang w:val="de-CH"/>
        </w:rPr>
        <w:t>interpretacj</w:t>
      </w:r>
      <w:r w:rsidR="00B90304" w:rsidRPr="00B90304">
        <w:t xml:space="preserve">i przyjmowanej </w:t>
      </w:r>
      <w:r w:rsidR="00B90304" w:rsidRPr="00B90304">
        <w:rPr>
          <w:lang w:val="de-CH"/>
        </w:rPr>
        <w:t>przez</w:t>
      </w:r>
      <w:r w:rsidR="00B90304" w:rsidRPr="00B90304">
        <w:t xml:space="preserve"> instytucje „stroniące od ryzyka“</w:t>
      </w:r>
      <w:r w:rsidR="006E58F5" w:rsidRPr="00B90304">
        <w:t xml:space="preserve"> mogą one prowadzić do </w:t>
      </w:r>
      <w:r w:rsidR="0003595D">
        <w:t>narzucania tym</w:t>
      </w:r>
      <w:r w:rsidR="006E58F5" w:rsidRPr="00B90304">
        <w:t xml:space="preserve"> </w:t>
      </w:r>
      <w:r w:rsidR="0003595D">
        <w:t>naukom</w:t>
      </w:r>
      <w:r w:rsidR="00B90304" w:rsidRPr="00B90304">
        <w:t xml:space="preserve"> </w:t>
      </w:r>
      <w:r w:rsidR="00FC53A5">
        <w:t>nader problematycznych</w:t>
      </w:r>
      <w:r w:rsidR="00B90304" w:rsidRPr="00B90304">
        <w:t xml:space="preserve"> ograniczeń proceduralnych i merytorycznych, takich jak: </w:t>
      </w:r>
      <w:r w:rsidR="0003595D">
        <w:t xml:space="preserve">„wymóg szczegółowego protokołu ex ante, (…), ograniczanie nieanonimowej prezentacji wyników </w:t>
      </w:r>
      <w:r w:rsidR="0003595D">
        <w:rPr>
          <w:spacing w:val="-1"/>
        </w:rPr>
        <w:t>badań (…) lub zakaz używania metod decepcyjnych lub niejawnych”</w:t>
      </w:r>
      <w:r w:rsidR="008872D2">
        <w:rPr>
          <w:spacing w:val="-1"/>
        </w:rPr>
        <w:t xml:space="preserve">, </w:t>
      </w:r>
      <w:r w:rsidR="00FC53A5">
        <w:rPr>
          <w:spacing w:val="-1"/>
        </w:rPr>
        <w:t>podczas gdy</w:t>
      </w:r>
      <w:r w:rsidR="008872D2">
        <w:rPr>
          <w:spacing w:val="-1"/>
        </w:rPr>
        <w:t xml:space="preserve"> wszystkie te nakazy i zakazy </w:t>
      </w:r>
      <w:r w:rsidR="00FC53A5">
        <w:rPr>
          <w:spacing w:val="-1"/>
        </w:rPr>
        <w:t xml:space="preserve">w co </w:t>
      </w:r>
      <w:r w:rsidR="00FC53A5" w:rsidRPr="00FC53A5">
        <w:rPr>
          <w:spacing w:val="-1"/>
          <w:szCs w:val="24"/>
          <w:lang w:val="en"/>
        </w:rPr>
        <w:t>pożyteczn</w:t>
      </w:r>
      <w:r w:rsidR="00FC53A5">
        <w:rPr>
          <w:spacing w:val="-1"/>
        </w:rPr>
        <w:t xml:space="preserve">iejszych </w:t>
      </w:r>
      <w:r w:rsidR="008872D2" w:rsidRPr="008872D2">
        <w:rPr>
          <w:spacing w:val="-1"/>
        </w:rPr>
        <w:t>badani</w:t>
      </w:r>
      <w:r w:rsidR="008872D2">
        <w:rPr>
          <w:spacing w:val="-1"/>
        </w:rPr>
        <w:t xml:space="preserve">ach </w:t>
      </w:r>
      <w:r w:rsidR="008872D2" w:rsidRPr="008872D2">
        <w:rPr>
          <w:spacing w:val="-1"/>
        </w:rPr>
        <w:t>społeczn</w:t>
      </w:r>
      <w:r w:rsidR="008872D2">
        <w:rPr>
          <w:spacing w:val="-1"/>
        </w:rPr>
        <w:t xml:space="preserve">ych niełatwo </w:t>
      </w:r>
      <w:r w:rsidR="008872D2" w:rsidRPr="008872D2">
        <w:rPr>
          <w:spacing w:val="-1"/>
        </w:rPr>
        <w:t>jest</w:t>
      </w:r>
      <w:r w:rsidR="008872D2">
        <w:rPr>
          <w:spacing w:val="-1"/>
        </w:rPr>
        <w:t xml:space="preserve"> </w:t>
      </w:r>
      <w:r w:rsidR="008872D2" w:rsidRPr="008872D2">
        <w:rPr>
          <w:spacing w:val="-1"/>
        </w:rPr>
        <w:t>spełni</w:t>
      </w:r>
      <w:r w:rsidR="008872D2">
        <w:rPr>
          <w:spacing w:val="-1"/>
        </w:rPr>
        <w:t>ć</w:t>
      </w:r>
      <w:r w:rsidR="00B90304" w:rsidRPr="00B90304">
        <w:t xml:space="preserve">. Wydaje się zatem, że kwestia właściwego </w:t>
      </w:r>
      <w:r w:rsidR="00B90304">
        <w:t>sposobu stosowania</w:t>
      </w:r>
      <w:r w:rsidR="00B90304" w:rsidRPr="00B90304">
        <w:t xml:space="preserve"> przepisów  rozporządzeniu 2016/679</w:t>
      </w:r>
      <w:r w:rsidR="00B90304">
        <w:t xml:space="preserve"> do </w:t>
      </w:r>
      <w:r w:rsidR="00B90304">
        <w:rPr>
          <w:spacing w:val="-1"/>
        </w:rPr>
        <w:t xml:space="preserve">badań </w:t>
      </w:r>
      <w:r w:rsidR="00B90304">
        <w:t xml:space="preserve">w naukach </w:t>
      </w:r>
      <w:r w:rsidR="00B90304" w:rsidRPr="001A7ED6">
        <w:t>społeczn</w:t>
      </w:r>
      <w:r w:rsidR="00B90304">
        <w:t xml:space="preserve">ych nie może </w:t>
      </w:r>
      <w:r w:rsidR="008872D2">
        <w:t>zostać</w:t>
      </w:r>
      <w:r w:rsidR="00B90304">
        <w:t xml:space="preserve"> rozwiązana jednym ogólnikowym pociągnięciem prawnym, lecz  musi być</w:t>
      </w:r>
      <w:r w:rsidR="00F66741">
        <w:t xml:space="preserve"> – także i w naszym kraju -</w:t>
      </w:r>
      <w:r w:rsidR="00B90304">
        <w:t xml:space="preserve"> przedyskutowana </w:t>
      </w:r>
      <w:r w:rsidR="00502ABC">
        <w:t>z większą cierpliwością</w:t>
      </w:r>
      <w:r w:rsidR="00B90304">
        <w:t xml:space="preserve">. Mamy nadzieję, że planowana konferencja </w:t>
      </w:r>
      <w:r w:rsidR="00F66741">
        <w:t>da sposobność</w:t>
      </w:r>
      <w:r w:rsidR="00B90304">
        <w:t xml:space="preserve"> do takiej dyskusji.</w:t>
      </w:r>
    </w:p>
    <w:p w:rsidR="00FB56F7" w:rsidRDefault="00FB56F7" w:rsidP="00FB56F7">
      <w:pPr>
        <w:jc w:val="right"/>
      </w:pPr>
      <w:r>
        <w:t>Włodzimierz Galewicz</w:t>
      </w:r>
    </w:p>
    <w:p w:rsidR="00CE4468" w:rsidRPr="00CE4468" w:rsidRDefault="00CE4468"/>
    <w:sectPr w:rsidR="00CE4468" w:rsidRPr="00CE4468"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2D2" w:rsidRDefault="008872D2" w:rsidP="008872D2">
      <w:pPr>
        <w:spacing w:line="240" w:lineRule="auto"/>
      </w:pPr>
      <w:r>
        <w:separator/>
      </w:r>
    </w:p>
  </w:endnote>
  <w:endnote w:type="continuationSeparator" w:id="0">
    <w:p w:rsidR="008872D2" w:rsidRDefault="008872D2" w:rsidP="00887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2D2" w:rsidRDefault="008872D2" w:rsidP="008872D2">
      <w:pPr>
        <w:spacing w:line="240" w:lineRule="auto"/>
      </w:pPr>
      <w:r>
        <w:separator/>
      </w:r>
    </w:p>
  </w:footnote>
  <w:footnote w:type="continuationSeparator" w:id="0">
    <w:p w:rsidR="008872D2" w:rsidRDefault="008872D2" w:rsidP="008872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377BF04"/>
    <w:multiLevelType w:val="hybridMultilevel"/>
    <w:tmpl w:val="82BB13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BF"/>
    <w:rsid w:val="00002C32"/>
    <w:rsid w:val="000135E8"/>
    <w:rsid w:val="00020E34"/>
    <w:rsid w:val="00024B3C"/>
    <w:rsid w:val="000278E6"/>
    <w:rsid w:val="00032D9D"/>
    <w:rsid w:val="0003595D"/>
    <w:rsid w:val="000556E8"/>
    <w:rsid w:val="00062823"/>
    <w:rsid w:val="00064AB6"/>
    <w:rsid w:val="00067329"/>
    <w:rsid w:val="000731A5"/>
    <w:rsid w:val="00076C5C"/>
    <w:rsid w:val="00082B79"/>
    <w:rsid w:val="000920AE"/>
    <w:rsid w:val="000A03DA"/>
    <w:rsid w:val="000A2804"/>
    <w:rsid w:val="000B3799"/>
    <w:rsid w:val="000C624A"/>
    <w:rsid w:val="000D6C0E"/>
    <w:rsid w:val="000F25C1"/>
    <w:rsid w:val="001134D1"/>
    <w:rsid w:val="001177A5"/>
    <w:rsid w:val="001267F3"/>
    <w:rsid w:val="00131436"/>
    <w:rsid w:val="00132C53"/>
    <w:rsid w:val="00133CB9"/>
    <w:rsid w:val="0013738F"/>
    <w:rsid w:val="00142FFC"/>
    <w:rsid w:val="001530A1"/>
    <w:rsid w:val="00174CB3"/>
    <w:rsid w:val="001802E2"/>
    <w:rsid w:val="00181349"/>
    <w:rsid w:val="00181E9D"/>
    <w:rsid w:val="00183F3B"/>
    <w:rsid w:val="00184AAB"/>
    <w:rsid w:val="00190ACF"/>
    <w:rsid w:val="001A26D2"/>
    <w:rsid w:val="001A2ABF"/>
    <w:rsid w:val="001A7EED"/>
    <w:rsid w:val="001B17F7"/>
    <w:rsid w:val="001B4B81"/>
    <w:rsid w:val="001B5CC7"/>
    <w:rsid w:val="001D5232"/>
    <w:rsid w:val="001E1C8B"/>
    <w:rsid w:val="001E57C4"/>
    <w:rsid w:val="0021048E"/>
    <w:rsid w:val="00210F3E"/>
    <w:rsid w:val="002115C5"/>
    <w:rsid w:val="0021170B"/>
    <w:rsid w:val="00227EBB"/>
    <w:rsid w:val="00241229"/>
    <w:rsid w:val="0025203A"/>
    <w:rsid w:val="002609C6"/>
    <w:rsid w:val="0028277E"/>
    <w:rsid w:val="00284790"/>
    <w:rsid w:val="002855CC"/>
    <w:rsid w:val="00292327"/>
    <w:rsid w:val="002A3899"/>
    <w:rsid w:val="002A5AFD"/>
    <w:rsid w:val="002C43F7"/>
    <w:rsid w:val="002E6AAC"/>
    <w:rsid w:val="003025E0"/>
    <w:rsid w:val="00304127"/>
    <w:rsid w:val="003048E3"/>
    <w:rsid w:val="00310002"/>
    <w:rsid w:val="00311E72"/>
    <w:rsid w:val="003209EE"/>
    <w:rsid w:val="00320F14"/>
    <w:rsid w:val="003237C7"/>
    <w:rsid w:val="003441B7"/>
    <w:rsid w:val="00352A70"/>
    <w:rsid w:val="00387307"/>
    <w:rsid w:val="003B7320"/>
    <w:rsid w:val="003C0C5B"/>
    <w:rsid w:val="003D122D"/>
    <w:rsid w:val="003E3F33"/>
    <w:rsid w:val="003E66AC"/>
    <w:rsid w:val="003F587C"/>
    <w:rsid w:val="003F5CC7"/>
    <w:rsid w:val="003F5F06"/>
    <w:rsid w:val="00402719"/>
    <w:rsid w:val="00405FA3"/>
    <w:rsid w:val="004116DC"/>
    <w:rsid w:val="00436EAE"/>
    <w:rsid w:val="00451C13"/>
    <w:rsid w:val="0046179E"/>
    <w:rsid w:val="00465D1F"/>
    <w:rsid w:val="00474F4E"/>
    <w:rsid w:val="0048671D"/>
    <w:rsid w:val="004A1DF2"/>
    <w:rsid w:val="004A627E"/>
    <w:rsid w:val="004C4F10"/>
    <w:rsid w:val="004C5BA1"/>
    <w:rsid w:val="004E590F"/>
    <w:rsid w:val="004F7D46"/>
    <w:rsid w:val="00501748"/>
    <w:rsid w:val="005022ED"/>
    <w:rsid w:val="00502ABC"/>
    <w:rsid w:val="00514C0E"/>
    <w:rsid w:val="005171F0"/>
    <w:rsid w:val="00522DD2"/>
    <w:rsid w:val="005378A0"/>
    <w:rsid w:val="00537B5D"/>
    <w:rsid w:val="00540984"/>
    <w:rsid w:val="00550DD0"/>
    <w:rsid w:val="00572A59"/>
    <w:rsid w:val="005742C8"/>
    <w:rsid w:val="005867B5"/>
    <w:rsid w:val="00586D82"/>
    <w:rsid w:val="005958E4"/>
    <w:rsid w:val="00596BDE"/>
    <w:rsid w:val="005A2C89"/>
    <w:rsid w:val="005A7BC3"/>
    <w:rsid w:val="005B293B"/>
    <w:rsid w:val="005D6655"/>
    <w:rsid w:val="005E2851"/>
    <w:rsid w:val="005F0666"/>
    <w:rsid w:val="005F46A8"/>
    <w:rsid w:val="005F566F"/>
    <w:rsid w:val="00611123"/>
    <w:rsid w:val="00611582"/>
    <w:rsid w:val="00613956"/>
    <w:rsid w:val="00615703"/>
    <w:rsid w:val="00616FE6"/>
    <w:rsid w:val="0062652F"/>
    <w:rsid w:val="006313F1"/>
    <w:rsid w:val="006373A5"/>
    <w:rsid w:val="00644256"/>
    <w:rsid w:val="0065144C"/>
    <w:rsid w:val="00660DBA"/>
    <w:rsid w:val="00664BCB"/>
    <w:rsid w:val="00665972"/>
    <w:rsid w:val="006661D5"/>
    <w:rsid w:val="00683017"/>
    <w:rsid w:val="00687DCA"/>
    <w:rsid w:val="00692BDD"/>
    <w:rsid w:val="006956E4"/>
    <w:rsid w:val="006A4AE5"/>
    <w:rsid w:val="006B1ED0"/>
    <w:rsid w:val="006B2A8B"/>
    <w:rsid w:val="006B31F6"/>
    <w:rsid w:val="006D7752"/>
    <w:rsid w:val="006E3494"/>
    <w:rsid w:val="006E58F5"/>
    <w:rsid w:val="006E5A2F"/>
    <w:rsid w:val="006E71C5"/>
    <w:rsid w:val="006F24DC"/>
    <w:rsid w:val="006F2CC1"/>
    <w:rsid w:val="006F3DE0"/>
    <w:rsid w:val="006F6902"/>
    <w:rsid w:val="00704056"/>
    <w:rsid w:val="00711D1F"/>
    <w:rsid w:val="007120EB"/>
    <w:rsid w:val="0072275A"/>
    <w:rsid w:val="0072639F"/>
    <w:rsid w:val="00727513"/>
    <w:rsid w:val="00730954"/>
    <w:rsid w:val="0074697A"/>
    <w:rsid w:val="007474A0"/>
    <w:rsid w:val="00753451"/>
    <w:rsid w:val="00757530"/>
    <w:rsid w:val="007600C0"/>
    <w:rsid w:val="00762F90"/>
    <w:rsid w:val="00790D06"/>
    <w:rsid w:val="007963A6"/>
    <w:rsid w:val="007A0999"/>
    <w:rsid w:val="007C1295"/>
    <w:rsid w:val="007C3EA2"/>
    <w:rsid w:val="007D14DE"/>
    <w:rsid w:val="007D5D53"/>
    <w:rsid w:val="007E3E6B"/>
    <w:rsid w:val="007F6DB2"/>
    <w:rsid w:val="00803520"/>
    <w:rsid w:val="00823F67"/>
    <w:rsid w:val="00832418"/>
    <w:rsid w:val="00840CE9"/>
    <w:rsid w:val="00857D35"/>
    <w:rsid w:val="008625A7"/>
    <w:rsid w:val="008705EB"/>
    <w:rsid w:val="00875322"/>
    <w:rsid w:val="00881003"/>
    <w:rsid w:val="008872D2"/>
    <w:rsid w:val="008911D3"/>
    <w:rsid w:val="008A36D7"/>
    <w:rsid w:val="008B2A6C"/>
    <w:rsid w:val="008C643D"/>
    <w:rsid w:val="008E627F"/>
    <w:rsid w:val="008E6C18"/>
    <w:rsid w:val="008F25A8"/>
    <w:rsid w:val="009133D1"/>
    <w:rsid w:val="0092338E"/>
    <w:rsid w:val="00947ED0"/>
    <w:rsid w:val="009633E7"/>
    <w:rsid w:val="00965324"/>
    <w:rsid w:val="0096778F"/>
    <w:rsid w:val="00971953"/>
    <w:rsid w:val="00971A5F"/>
    <w:rsid w:val="00977644"/>
    <w:rsid w:val="00983F75"/>
    <w:rsid w:val="009A43D1"/>
    <w:rsid w:val="009B1DAB"/>
    <w:rsid w:val="009C281B"/>
    <w:rsid w:val="009C3288"/>
    <w:rsid w:val="009F32D9"/>
    <w:rsid w:val="00A236E4"/>
    <w:rsid w:val="00A247E0"/>
    <w:rsid w:val="00A311B3"/>
    <w:rsid w:val="00A50BFC"/>
    <w:rsid w:val="00A61CA1"/>
    <w:rsid w:val="00A7331D"/>
    <w:rsid w:val="00A75272"/>
    <w:rsid w:val="00A9356D"/>
    <w:rsid w:val="00A9436A"/>
    <w:rsid w:val="00AA18D6"/>
    <w:rsid w:val="00AA6C0A"/>
    <w:rsid w:val="00AD6160"/>
    <w:rsid w:val="00AE28A5"/>
    <w:rsid w:val="00AE2AE2"/>
    <w:rsid w:val="00AE708F"/>
    <w:rsid w:val="00AF3FCF"/>
    <w:rsid w:val="00AF7394"/>
    <w:rsid w:val="00B15C8B"/>
    <w:rsid w:val="00B24D61"/>
    <w:rsid w:val="00B277B2"/>
    <w:rsid w:val="00B40198"/>
    <w:rsid w:val="00B428E3"/>
    <w:rsid w:val="00B4721E"/>
    <w:rsid w:val="00B53B45"/>
    <w:rsid w:val="00B633D4"/>
    <w:rsid w:val="00B73F85"/>
    <w:rsid w:val="00B7672D"/>
    <w:rsid w:val="00B858FE"/>
    <w:rsid w:val="00B90304"/>
    <w:rsid w:val="00B94FEB"/>
    <w:rsid w:val="00BA75F9"/>
    <w:rsid w:val="00BB2194"/>
    <w:rsid w:val="00BC47E9"/>
    <w:rsid w:val="00BD0FA1"/>
    <w:rsid w:val="00BD19CA"/>
    <w:rsid w:val="00BD45E4"/>
    <w:rsid w:val="00BD4B1C"/>
    <w:rsid w:val="00BD6671"/>
    <w:rsid w:val="00BE2AF3"/>
    <w:rsid w:val="00BE2D12"/>
    <w:rsid w:val="00C06577"/>
    <w:rsid w:val="00C22A4D"/>
    <w:rsid w:val="00C22AB6"/>
    <w:rsid w:val="00C238F5"/>
    <w:rsid w:val="00C34543"/>
    <w:rsid w:val="00C402F1"/>
    <w:rsid w:val="00C50EFD"/>
    <w:rsid w:val="00C656C7"/>
    <w:rsid w:val="00C84013"/>
    <w:rsid w:val="00C96DBA"/>
    <w:rsid w:val="00C96F95"/>
    <w:rsid w:val="00CB0C63"/>
    <w:rsid w:val="00CC5EF6"/>
    <w:rsid w:val="00CC69CD"/>
    <w:rsid w:val="00CE4468"/>
    <w:rsid w:val="00CF612D"/>
    <w:rsid w:val="00D025B5"/>
    <w:rsid w:val="00D040BA"/>
    <w:rsid w:val="00D0615B"/>
    <w:rsid w:val="00D32C4C"/>
    <w:rsid w:val="00D340CE"/>
    <w:rsid w:val="00D34E08"/>
    <w:rsid w:val="00D356F3"/>
    <w:rsid w:val="00D421BB"/>
    <w:rsid w:val="00D47D94"/>
    <w:rsid w:val="00D50BF1"/>
    <w:rsid w:val="00D66305"/>
    <w:rsid w:val="00D74E78"/>
    <w:rsid w:val="00D86282"/>
    <w:rsid w:val="00DA5AF9"/>
    <w:rsid w:val="00DA5BAD"/>
    <w:rsid w:val="00DA7526"/>
    <w:rsid w:val="00DC41EF"/>
    <w:rsid w:val="00DC50B0"/>
    <w:rsid w:val="00DC5C04"/>
    <w:rsid w:val="00DD4932"/>
    <w:rsid w:val="00DD65DE"/>
    <w:rsid w:val="00DD6F33"/>
    <w:rsid w:val="00DF619F"/>
    <w:rsid w:val="00E135FA"/>
    <w:rsid w:val="00E171F6"/>
    <w:rsid w:val="00E2116D"/>
    <w:rsid w:val="00E2491F"/>
    <w:rsid w:val="00E25549"/>
    <w:rsid w:val="00E25D9C"/>
    <w:rsid w:val="00E311B5"/>
    <w:rsid w:val="00E31AD1"/>
    <w:rsid w:val="00E34FB1"/>
    <w:rsid w:val="00E4196A"/>
    <w:rsid w:val="00E42EB0"/>
    <w:rsid w:val="00E50CDE"/>
    <w:rsid w:val="00E518CB"/>
    <w:rsid w:val="00E70F17"/>
    <w:rsid w:val="00E8540B"/>
    <w:rsid w:val="00ED0E58"/>
    <w:rsid w:val="00EF714F"/>
    <w:rsid w:val="00F01B05"/>
    <w:rsid w:val="00F21488"/>
    <w:rsid w:val="00F26EFB"/>
    <w:rsid w:val="00F31712"/>
    <w:rsid w:val="00F32276"/>
    <w:rsid w:val="00F40CD3"/>
    <w:rsid w:val="00F66741"/>
    <w:rsid w:val="00F773A7"/>
    <w:rsid w:val="00F82C14"/>
    <w:rsid w:val="00F85922"/>
    <w:rsid w:val="00F90ACB"/>
    <w:rsid w:val="00F90DB4"/>
    <w:rsid w:val="00F916B5"/>
    <w:rsid w:val="00FA094D"/>
    <w:rsid w:val="00FB56F7"/>
    <w:rsid w:val="00FC53A5"/>
    <w:rsid w:val="00FC6A7A"/>
    <w:rsid w:val="00FD31CF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5C11A-C655-416B-887F-80D3AF52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ind w:firstLine="567"/>
    </w:pPr>
    <w:rPr>
      <w:noProof/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58F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2D2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2D2"/>
    <w:rPr>
      <w:noProof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Dokumenty\0%200\PL-STAN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8C5F1-7BD8-43A1-B12E-17521D73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PL-STAND</Template>
  <TotalTime>296</TotalTime>
  <Pages>3</Pages>
  <Words>891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UNIVERSITÄT FREIBURG</Company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dcterms:created xsi:type="dcterms:W3CDTF">2019-08-30T06:43:00Z</dcterms:created>
  <dcterms:modified xsi:type="dcterms:W3CDTF">2019-10-31T10:06:00Z</dcterms:modified>
</cp:coreProperties>
</file>