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30C" w:rsidRDefault="00C34251" w:rsidP="00AE230C">
      <w:r>
        <w:t>PROPOZYCJE KWESTII DO DYSKUSJI W RAMACH  SESJI POŚWIĘCONEJ  BIOBANKOM I REJESTROM MEDYCZNYM</w:t>
      </w:r>
    </w:p>
    <w:p w:rsidR="00E25D9C" w:rsidRDefault="00AE230C" w:rsidP="00AE230C">
      <w:bookmarkStart w:id="0" w:name="_GoBack"/>
      <w:bookmarkEnd w:id="0"/>
      <w:r>
        <w:t xml:space="preserve">Jedną z ważnych grup zagadnień, mieszczących się w zakresie planowanej konferencji, stanowią problemy ochrony danych pochodzących z rejestrów medycznych i wykorzystywanych do celów </w:t>
      </w:r>
      <w:r>
        <w:rPr>
          <w:spacing w:val="-1"/>
        </w:rPr>
        <w:t xml:space="preserve">badań </w:t>
      </w:r>
      <w:r>
        <w:t>naukowych. W ostatnim czasie także i w Polsce dużo mówi się o potrzebie tworzenia takich zbiorów danych, szczególnie dotyczących określonych kategorii chorób, ale ich status prawny – i pożądany sposób ich funkcjonowania – wydaje się sporny.</w:t>
      </w:r>
    </w:p>
    <w:p w:rsidR="00AE230C" w:rsidRDefault="00921728" w:rsidP="00AE230C">
      <w:r>
        <w:t>W</w:t>
      </w:r>
      <w:r w:rsidR="00AE230C">
        <w:t xml:space="preserve"> motywie </w:t>
      </w:r>
      <w:r w:rsidR="00AE230C" w:rsidRPr="00B749BC">
        <w:t>(157)</w:t>
      </w:r>
      <w:r w:rsidR="00AE230C">
        <w:t xml:space="preserve"> RODO mówi się o poznawczych pożytkach, jakie mogą osiągnąć </w:t>
      </w:r>
      <w:r w:rsidR="00AE230C" w:rsidRPr="00B749BC">
        <w:t>naukowcy</w:t>
      </w:r>
      <w:r w:rsidR="00AE230C">
        <w:t>, wykorzystując informacje z różnego rodzaju rejestrów. W konkluzji stwierdza się:</w:t>
      </w:r>
    </w:p>
    <w:p w:rsidR="00AE230C" w:rsidRDefault="00AE230C" w:rsidP="00AE230C">
      <w:r>
        <w:t>„</w:t>
      </w:r>
      <w:r w:rsidRPr="00B749BC">
        <w:t>Dla ułatwienia badań naukowych dopuszcza się przetwarzanie danych osobowych do celów badań naukowych z zastrzeżeniem odpowiednich warunków i zabezpieczeń przewidzianych w prawie Unii lub w prawie państwa członkowskiego</w:t>
      </w:r>
      <w:r>
        <w:t>”</w:t>
      </w:r>
      <w:r w:rsidRPr="00B749BC">
        <w:t>.</w:t>
      </w:r>
    </w:p>
    <w:p w:rsidR="00AE230C" w:rsidRDefault="00AE230C" w:rsidP="00AE230C">
      <w:r w:rsidRPr="00AE230C">
        <w:t xml:space="preserve">W prawie polskim owe „warunki i zabezpieczenia” wykorzystywania danych z rejestrów do celów badań naukowych określono w art. 19 ustawy z dnia 28 kwietnia 2011 r. o systemie informacji w ochronie zdrowia. </w:t>
      </w:r>
      <w:r w:rsidR="00585911">
        <w:t>U</w:t>
      </w:r>
      <w:r w:rsidRPr="00AE230C">
        <w:t>st. 1</w:t>
      </w:r>
      <w:r w:rsidR="00585911">
        <w:t xml:space="preserve"> tego </w:t>
      </w:r>
      <w:r w:rsidR="00585911">
        <w:rPr>
          <w:lang w:val="de-CH"/>
        </w:rPr>
        <w:t>artykuł</w:t>
      </w:r>
      <w:r w:rsidR="00585911">
        <w:t xml:space="preserve">u mówi o celach, w jakich </w:t>
      </w:r>
      <w:r w:rsidR="00585911" w:rsidRPr="005B13C8">
        <w:t>minister właściwy do spraw zdrowia</w:t>
      </w:r>
      <w:r w:rsidR="00585911">
        <w:t xml:space="preserve"> może „</w:t>
      </w:r>
      <w:r w:rsidR="00585911" w:rsidRPr="005B13C8">
        <w:t>tworzyć i prowadzić lub tworzyć i zlecać prowadzenie rejestrów medycznych</w:t>
      </w:r>
      <w:r w:rsidR="00585911">
        <w:t xml:space="preserve">” (wśród których nie wymienia się, przynajmniej explicite, prowadzenia </w:t>
      </w:r>
      <w:r w:rsidR="00585911">
        <w:rPr>
          <w:spacing w:val="-1"/>
        </w:rPr>
        <w:t xml:space="preserve">badań </w:t>
      </w:r>
      <w:r w:rsidR="00585911">
        <w:t xml:space="preserve">naukowych), a </w:t>
      </w:r>
      <w:r w:rsidR="00921728">
        <w:t xml:space="preserve">jeden z kolejnych ustępów tegoż </w:t>
      </w:r>
      <w:r w:rsidR="00921728">
        <w:rPr>
          <w:lang w:val="de-CH"/>
        </w:rPr>
        <w:t>artykuł</w:t>
      </w:r>
      <w:r w:rsidR="00921728">
        <w:t>u w</w:t>
      </w:r>
      <w:r w:rsidR="00585911">
        <w:t xml:space="preserve"> jego pierwotnej postaci głosił:</w:t>
      </w:r>
    </w:p>
    <w:p w:rsidR="00585911" w:rsidRDefault="00585911" w:rsidP="00AE230C">
      <w:r>
        <w:t>„</w:t>
      </w:r>
      <w:r w:rsidRPr="005B13C8">
        <w:t xml:space="preserve">7. Dane zawarte w rejestrach medycznych, o których mowa w ust. 1, mogą być udostępniane do celów </w:t>
      </w:r>
      <w:r>
        <w:t>statystycznych i naukowo</w:t>
      </w:r>
      <w:r w:rsidRPr="005B13C8">
        <w:t xml:space="preserve">-badawczych </w:t>
      </w:r>
      <w:r w:rsidRPr="00921728">
        <w:rPr>
          <w:u w:val="single"/>
        </w:rPr>
        <w:t>jedynie</w:t>
      </w:r>
      <w:r w:rsidRPr="005B13C8">
        <w:t xml:space="preserve"> w formie uniemożliwiającej ich powiązanie z konkretną osobą fizyczną</w:t>
      </w:r>
      <w:r>
        <w:t>”</w:t>
      </w:r>
      <w:r w:rsidR="00921728">
        <w:t xml:space="preserve"> (podkr. moje, W.G.).</w:t>
      </w:r>
    </w:p>
    <w:p w:rsidR="00077F67" w:rsidRPr="006C095C" w:rsidRDefault="00585911" w:rsidP="00077F67">
      <w:pPr>
        <w:rPr>
          <w:rFonts w:eastAsia="TimesNewRoman"/>
        </w:rPr>
      </w:pPr>
      <w:r>
        <w:t>Po wejściu w życie RODO systemy prawne różnych państw członkowski</w:t>
      </w:r>
      <w:r w:rsidR="00921728">
        <w:t>ch</w:t>
      </w:r>
      <w:r>
        <w:t xml:space="preserve"> UE musiały zostać dostosowane do wspólnego prawa unijnego, czemu w Polsce służyła między innymi </w:t>
      </w:r>
      <w:r w:rsidR="00921728">
        <w:t>„</w:t>
      </w:r>
      <w:r w:rsidR="00921728" w:rsidRPr="00921728">
        <w:t xml:space="preserve">ustawa </w:t>
      </w:r>
      <w:r w:rsidRPr="00921728">
        <w:rPr>
          <w:rFonts w:eastAsia="TimesNewRoman"/>
        </w:rPr>
        <w:t xml:space="preserve">z dnia 21 lutego 2019 r. </w:t>
      </w:r>
      <w:r w:rsidRPr="00921728">
        <w:t>o zmianie niektórych ustaw</w:t>
      </w:r>
      <w:r w:rsidR="00921728">
        <w:t>”</w:t>
      </w:r>
      <w:r w:rsidR="00077F67">
        <w:t xml:space="preserve">. Jej art. 111 odnosi się do cytowanego wyżej art. 19 </w:t>
      </w:r>
      <w:r w:rsidR="00077F67">
        <w:rPr>
          <w:rFonts w:eastAsia="TimesNewRoman"/>
        </w:rPr>
        <w:t>ustawy</w:t>
      </w:r>
      <w:r w:rsidR="00077F67" w:rsidRPr="006C095C">
        <w:rPr>
          <w:rFonts w:eastAsia="TimesNewRoman"/>
        </w:rPr>
        <w:t xml:space="preserve"> o systemie informacji w ochronie zdrowia</w:t>
      </w:r>
      <w:r w:rsidR="00077F67">
        <w:rPr>
          <w:rFonts w:eastAsia="TimesNewRoman"/>
        </w:rPr>
        <w:t xml:space="preserve"> i stwierdza, że jej </w:t>
      </w:r>
      <w:r w:rsidR="00077F67" w:rsidRPr="006C095C">
        <w:rPr>
          <w:rFonts w:eastAsia="TimesNewRoman"/>
        </w:rPr>
        <w:t>ust. 7 otrzymuje brzmienie:</w:t>
      </w:r>
    </w:p>
    <w:p w:rsidR="00077F67" w:rsidRPr="00921728" w:rsidRDefault="00077F67" w:rsidP="00077F67">
      <w:pPr>
        <w:rPr>
          <w:rFonts w:eastAsia="TimesNewRoman"/>
        </w:rPr>
      </w:pPr>
      <w:r>
        <w:rPr>
          <w:rFonts w:eastAsia="TimesNewRoman"/>
        </w:rPr>
        <w:t>„</w:t>
      </w:r>
      <w:r w:rsidRPr="006C095C">
        <w:rPr>
          <w:rFonts w:eastAsia="TimesNewRoman"/>
        </w:rPr>
        <w:t>7. Dane zawarte w rejestrach medycznych, o kt</w:t>
      </w:r>
      <w:r w:rsidRPr="006C095C">
        <w:rPr>
          <w:rFonts w:eastAsia="TimesNewRoman" w:hint="eastAsia"/>
        </w:rPr>
        <w:t>ó</w:t>
      </w:r>
      <w:r w:rsidRPr="006C095C">
        <w:rPr>
          <w:rFonts w:eastAsia="TimesNewRoman"/>
        </w:rPr>
        <w:t>rych mowa w ust. 1, mog</w:t>
      </w:r>
      <w:r w:rsidRPr="006C095C">
        <w:rPr>
          <w:rFonts w:eastAsia="TimesNewRoman" w:hint="eastAsia"/>
        </w:rPr>
        <w:t>ą</w:t>
      </w:r>
      <w:r w:rsidRPr="006C095C">
        <w:rPr>
          <w:rFonts w:eastAsia="TimesNewRoman"/>
        </w:rPr>
        <w:t xml:space="preserve"> by</w:t>
      </w:r>
      <w:r w:rsidRPr="006C095C">
        <w:rPr>
          <w:rFonts w:eastAsia="TimesNewRoman" w:hint="eastAsia"/>
        </w:rPr>
        <w:t>ć</w:t>
      </w:r>
      <w:r w:rsidRPr="006C095C">
        <w:rPr>
          <w:rFonts w:eastAsia="TimesNewRoman"/>
        </w:rPr>
        <w:t xml:space="preserve"> udost</w:t>
      </w:r>
      <w:r w:rsidRPr="006C095C">
        <w:rPr>
          <w:rFonts w:eastAsia="TimesNewRoman" w:hint="eastAsia"/>
        </w:rPr>
        <w:t>ę</w:t>
      </w:r>
      <w:r w:rsidRPr="006C095C">
        <w:rPr>
          <w:rFonts w:eastAsia="TimesNewRoman"/>
        </w:rPr>
        <w:t>pniane w celu prowadzenia bada</w:t>
      </w:r>
      <w:r w:rsidRPr="006C095C">
        <w:rPr>
          <w:rFonts w:eastAsia="TimesNewRoman" w:hint="eastAsia"/>
        </w:rPr>
        <w:t>ń</w:t>
      </w:r>
      <w:r w:rsidRPr="006C095C">
        <w:rPr>
          <w:rFonts w:eastAsia="TimesNewRoman"/>
        </w:rPr>
        <w:t xml:space="preserve"> naukowych i do cel</w:t>
      </w:r>
      <w:r w:rsidRPr="006C095C">
        <w:rPr>
          <w:rFonts w:eastAsia="TimesNewRoman" w:hint="eastAsia"/>
        </w:rPr>
        <w:t>ó</w:t>
      </w:r>
      <w:r w:rsidRPr="006C095C">
        <w:rPr>
          <w:rFonts w:eastAsia="TimesNewRoman"/>
        </w:rPr>
        <w:t xml:space="preserve">w statystycznych </w:t>
      </w:r>
      <w:r w:rsidRPr="006C095C">
        <w:rPr>
          <w:rFonts w:eastAsia="TimesNewRoman"/>
          <w:u w:val="single"/>
        </w:rPr>
        <w:t>w formie uniemo</w:t>
      </w:r>
      <w:r w:rsidRPr="006C095C">
        <w:rPr>
          <w:rFonts w:eastAsia="TimesNewRoman" w:hint="eastAsia"/>
          <w:u w:val="single"/>
        </w:rPr>
        <w:t>ż</w:t>
      </w:r>
      <w:r w:rsidRPr="006C095C">
        <w:rPr>
          <w:rFonts w:eastAsia="TimesNewRoman"/>
          <w:u w:val="single"/>
        </w:rPr>
        <w:t>liwiaj</w:t>
      </w:r>
      <w:r w:rsidRPr="006C095C">
        <w:rPr>
          <w:rFonts w:eastAsia="TimesNewRoman" w:hint="eastAsia"/>
          <w:u w:val="single"/>
        </w:rPr>
        <w:t>ą</w:t>
      </w:r>
      <w:r w:rsidRPr="006C095C">
        <w:rPr>
          <w:rFonts w:eastAsia="TimesNewRoman"/>
          <w:u w:val="single"/>
        </w:rPr>
        <w:t>cej ich powi</w:t>
      </w:r>
      <w:r w:rsidRPr="006C095C">
        <w:rPr>
          <w:rFonts w:eastAsia="TimesNewRoman" w:hint="eastAsia"/>
          <w:u w:val="single"/>
        </w:rPr>
        <w:t>ą</w:t>
      </w:r>
      <w:r w:rsidRPr="006C095C">
        <w:rPr>
          <w:rFonts w:eastAsia="TimesNewRoman"/>
          <w:u w:val="single"/>
        </w:rPr>
        <w:t>zanie z konkretn</w:t>
      </w:r>
      <w:r w:rsidRPr="006C095C">
        <w:rPr>
          <w:rFonts w:eastAsia="TimesNewRoman" w:hint="eastAsia"/>
          <w:u w:val="single"/>
        </w:rPr>
        <w:t>ą</w:t>
      </w:r>
      <w:r w:rsidRPr="006C095C">
        <w:rPr>
          <w:rFonts w:eastAsia="TimesNewRoman"/>
          <w:u w:val="single"/>
        </w:rPr>
        <w:t xml:space="preserve"> osob</w:t>
      </w:r>
      <w:r w:rsidRPr="006C095C">
        <w:rPr>
          <w:rFonts w:eastAsia="TimesNewRoman" w:hint="eastAsia"/>
          <w:u w:val="single"/>
        </w:rPr>
        <w:t>ą</w:t>
      </w:r>
      <w:r w:rsidRPr="006C095C">
        <w:rPr>
          <w:rFonts w:eastAsia="TimesNewRoman"/>
          <w:u w:val="single"/>
        </w:rPr>
        <w:t xml:space="preserve"> fizyczn</w:t>
      </w:r>
      <w:r w:rsidRPr="006C095C">
        <w:rPr>
          <w:rFonts w:eastAsia="TimesNewRoman" w:hint="eastAsia"/>
          <w:u w:val="single"/>
        </w:rPr>
        <w:t>ą</w:t>
      </w:r>
      <w:r w:rsidRPr="00921728">
        <w:rPr>
          <w:rFonts w:eastAsia="TimesNewRoman"/>
        </w:rPr>
        <w:t>”</w:t>
      </w:r>
      <w:r w:rsidR="00921728" w:rsidRPr="00921728">
        <w:rPr>
          <w:rFonts w:eastAsia="TimesNewRoman"/>
        </w:rPr>
        <w:t xml:space="preserve"> (</w:t>
      </w:r>
      <w:r w:rsidR="00921728" w:rsidRPr="00921728">
        <w:t>podkr. moje, W.G.)</w:t>
      </w:r>
      <w:r w:rsidR="00921728">
        <w:t>.</w:t>
      </w:r>
    </w:p>
    <w:p w:rsidR="00077F67" w:rsidRDefault="00077F67" w:rsidP="00077F67">
      <w:pPr>
        <w:rPr>
          <w:rFonts w:eastAsia="TimesNewRoman"/>
        </w:rPr>
      </w:pPr>
      <w:r w:rsidRPr="00077F67">
        <w:rPr>
          <w:rFonts w:eastAsia="TimesNewRoman"/>
        </w:rPr>
        <w:t xml:space="preserve">Jak </w:t>
      </w:r>
      <w:r>
        <w:rPr>
          <w:rFonts w:eastAsia="TimesNewRoman"/>
        </w:rPr>
        <w:t xml:space="preserve">łatwo </w:t>
      </w:r>
      <w:r w:rsidRPr="00077F67">
        <w:rPr>
          <w:rFonts w:eastAsia="TimesNewRoman"/>
        </w:rPr>
        <w:t>zauważ</w:t>
      </w:r>
      <w:r>
        <w:rPr>
          <w:rFonts w:eastAsia="TimesNewRoman"/>
        </w:rPr>
        <w:t xml:space="preserve">yć, w cytowanym zapisie wprowadzono </w:t>
      </w:r>
      <w:r w:rsidRPr="00077F67">
        <w:rPr>
          <w:rFonts w:eastAsia="TimesNewRoman"/>
        </w:rPr>
        <w:t>tylko</w:t>
      </w:r>
      <w:r>
        <w:rPr>
          <w:rFonts w:eastAsia="TimesNewRoman"/>
        </w:rPr>
        <w:t xml:space="preserve"> jedną, ale dającą do </w:t>
      </w:r>
      <w:r w:rsidRPr="00077F67">
        <w:rPr>
          <w:rFonts w:eastAsia="TimesNewRoman"/>
        </w:rPr>
        <w:t>myśl</w:t>
      </w:r>
      <w:r>
        <w:rPr>
          <w:rFonts w:eastAsia="TimesNewRoman"/>
        </w:rPr>
        <w:t>enia</w:t>
      </w:r>
      <w:r w:rsidR="00921728">
        <w:rPr>
          <w:rFonts w:eastAsia="TimesNewRoman"/>
        </w:rPr>
        <w:t xml:space="preserve"> </w:t>
      </w:r>
      <w:r>
        <w:rPr>
          <w:rFonts w:eastAsia="TimesNewRoman"/>
        </w:rPr>
        <w:t xml:space="preserve">zmianę: opuszczono słówko „jedynie”. Dekretując, że dane z rejestrów </w:t>
      </w:r>
      <w:r w:rsidRPr="00077F67">
        <w:rPr>
          <w:rFonts w:eastAsia="TimesNewRoman"/>
        </w:rPr>
        <w:t>medyczn</w:t>
      </w:r>
      <w:r>
        <w:rPr>
          <w:rFonts w:eastAsia="TimesNewRoman"/>
        </w:rPr>
        <w:t xml:space="preserve">ych </w:t>
      </w:r>
      <w:r w:rsidRPr="006C095C">
        <w:rPr>
          <w:rFonts w:eastAsia="TimesNewRoman"/>
        </w:rPr>
        <w:t>mog</w:t>
      </w:r>
      <w:r w:rsidRPr="006C095C">
        <w:rPr>
          <w:rFonts w:eastAsia="TimesNewRoman" w:hint="eastAsia"/>
        </w:rPr>
        <w:t>ą</w:t>
      </w:r>
      <w:r w:rsidRPr="006C095C">
        <w:rPr>
          <w:rFonts w:eastAsia="TimesNewRoman"/>
        </w:rPr>
        <w:t xml:space="preserve"> by</w:t>
      </w:r>
      <w:r w:rsidRPr="006C095C">
        <w:rPr>
          <w:rFonts w:eastAsia="TimesNewRoman" w:hint="eastAsia"/>
        </w:rPr>
        <w:t>ć</w:t>
      </w:r>
      <w:r w:rsidRPr="006C095C">
        <w:rPr>
          <w:rFonts w:eastAsia="TimesNewRoman"/>
        </w:rPr>
        <w:t xml:space="preserve"> udost</w:t>
      </w:r>
      <w:r w:rsidRPr="006C095C">
        <w:rPr>
          <w:rFonts w:eastAsia="TimesNewRoman" w:hint="eastAsia"/>
        </w:rPr>
        <w:t>ę</w:t>
      </w:r>
      <w:r w:rsidRPr="006C095C">
        <w:rPr>
          <w:rFonts w:eastAsia="TimesNewRoman"/>
        </w:rPr>
        <w:t>pniane w celu prowadzenia bada</w:t>
      </w:r>
      <w:r w:rsidRPr="006C095C">
        <w:rPr>
          <w:rFonts w:eastAsia="TimesNewRoman" w:hint="eastAsia"/>
        </w:rPr>
        <w:t>ń</w:t>
      </w:r>
      <w:r w:rsidRPr="006C095C">
        <w:rPr>
          <w:rFonts w:eastAsia="TimesNewRoman"/>
        </w:rPr>
        <w:t xml:space="preserve"> naukowych</w:t>
      </w:r>
      <w:r>
        <w:rPr>
          <w:rFonts w:eastAsia="TimesNewRoman"/>
        </w:rPr>
        <w:t xml:space="preserve"> </w:t>
      </w:r>
      <w:r w:rsidRPr="00077F67">
        <w:rPr>
          <w:rFonts w:eastAsia="TimesNewRoman"/>
        </w:rPr>
        <w:t>w formie uniemo</w:t>
      </w:r>
      <w:r w:rsidRPr="00077F67">
        <w:rPr>
          <w:rFonts w:eastAsia="TimesNewRoman" w:hint="eastAsia"/>
        </w:rPr>
        <w:t>ż</w:t>
      </w:r>
      <w:r w:rsidRPr="00077F67">
        <w:rPr>
          <w:rFonts w:eastAsia="TimesNewRoman"/>
        </w:rPr>
        <w:t>liwiaj</w:t>
      </w:r>
      <w:r w:rsidRPr="00077F67">
        <w:rPr>
          <w:rFonts w:eastAsia="TimesNewRoman" w:hint="eastAsia"/>
        </w:rPr>
        <w:t>ą</w:t>
      </w:r>
      <w:r w:rsidRPr="00077F67">
        <w:rPr>
          <w:rFonts w:eastAsia="TimesNewRoman"/>
        </w:rPr>
        <w:t>cej ich powi</w:t>
      </w:r>
      <w:r w:rsidRPr="00077F67">
        <w:rPr>
          <w:rFonts w:eastAsia="TimesNewRoman" w:hint="eastAsia"/>
        </w:rPr>
        <w:t>ą</w:t>
      </w:r>
      <w:r w:rsidRPr="00077F67">
        <w:rPr>
          <w:rFonts w:eastAsia="TimesNewRoman"/>
        </w:rPr>
        <w:t>zanie z konkretn</w:t>
      </w:r>
      <w:r w:rsidRPr="00077F67">
        <w:rPr>
          <w:rFonts w:eastAsia="TimesNewRoman" w:hint="eastAsia"/>
        </w:rPr>
        <w:t>ą</w:t>
      </w:r>
      <w:r w:rsidRPr="00077F67">
        <w:rPr>
          <w:rFonts w:eastAsia="TimesNewRoman"/>
        </w:rPr>
        <w:t xml:space="preserve"> osob</w:t>
      </w:r>
      <w:r w:rsidRPr="00077F67">
        <w:rPr>
          <w:rFonts w:eastAsia="TimesNewRoman" w:hint="eastAsia"/>
        </w:rPr>
        <w:t>ą</w:t>
      </w:r>
      <w:r w:rsidRPr="00077F67">
        <w:rPr>
          <w:rFonts w:eastAsia="TimesNewRoman"/>
        </w:rPr>
        <w:t xml:space="preserve"> fizyczn</w:t>
      </w:r>
      <w:r w:rsidRPr="00077F67">
        <w:rPr>
          <w:rFonts w:eastAsia="TimesNewRoman" w:hint="eastAsia"/>
        </w:rPr>
        <w:t>ą</w:t>
      </w:r>
      <w:r w:rsidRPr="00077F67">
        <w:rPr>
          <w:rFonts w:eastAsia="TimesNewRoman"/>
        </w:rPr>
        <w:t>, ale nie dodając</w:t>
      </w:r>
      <w:r>
        <w:rPr>
          <w:rFonts w:eastAsia="TimesNewRoman"/>
        </w:rPr>
        <w:t xml:space="preserve">, że </w:t>
      </w:r>
      <w:r w:rsidRPr="00077F67">
        <w:rPr>
          <w:rFonts w:eastAsia="TimesNewRoman"/>
        </w:rPr>
        <w:t>tylko</w:t>
      </w:r>
      <w:r>
        <w:rPr>
          <w:rFonts w:eastAsia="TimesNewRoman"/>
        </w:rPr>
        <w:t xml:space="preserve"> w tej formie, prawodawca pozostawia otwartą </w:t>
      </w:r>
      <w:r w:rsidRPr="00077F67">
        <w:rPr>
          <w:rFonts w:eastAsia="TimesNewRoman"/>
        </w:rPr>
        <w:t>możliw</w:t>
      </w:r>
      <w:r>
        <w:rPr>
          <w:rFonts w:eastAsia="TimesNewRoman"/>
        </w:rPr>
        <w:t xml:space="preserve">ość, że </w:t>
      </w:r>
      <w:r w:rsidRPr="00077F67">
        <w:rPr>
          <w:rFonts w:eastAsia="TimesNewRoman"/>
        </w:rPr>
        <w:t>przynajmniej</w:t>
      </w:r>
      <w:r>
        <w:rPr>
          <w:rFonts w:eastAsia="TimesNewRoman"/>
        </w:rPr>
        <w:t xml:space="preserve"> w niektórych przypadkach mogą </w:t>
      </w:r>
      <w:r w:rsidRPr="00077F67">
        <w:rPr>
          <w:rFonts w:eastAsia="TimesNewRoman"/>
        </w:rPr>
        <w:t>być</w:t>
      </w:r>
      <w:r>
        <w:rPr>
          <w:rFonts w:eastAsia="TimesNewRoman"/>
        </w:rPr>
        <w:t xml:space="preserve"> one </w:t>
      </w:r>
      <w:r w:rsidR="00FB2289">
        <w:rPr>
          <w:rFonts w:eastAsia="TimesNewRoman"/>
        </w:rPr>
        <w:t xml:space="preserve">w tym celu </w:t>
      </w:r>
      <w:r>
        <w:rPr>
          <w:rFonts w:eastAsia="TimesNewRoman"/>
        </w:rPr>
        <w:t xml:space="preserve">udostępniane </w:t>
      </w:r>
      <w:r w:rsidRPr="00077F67">
        <w:rPr>
          <w:rFonts w:eastAsia="TimesNewRoman"/>
        </w:rPr>
        <w:t>także</w:t>
      </w:r>
      <w:r>
        <w:rPr>
          <w:rFonts w:eastAsia="TimesNewRoman"/>
        </w:rPr>
        <w:t xml:space="preserve"> w postaci niezanonimizowanej.</w:t>
      </w:r>
    </w:p>
    <w:p w:rsidR="006C475A" w:rsidRDefault="006C475A" w:rsidP="00077F67">
      <w:pPr>
        <w:rPr>
          <w:spacing w:val="-1"/>
        </w:rPr>
      </w:pPr>
      <w:r>
        <w:rPr>
          <w:spacing w:val="-1"/>
        </w:rPr>
        <w:t xml:space="preserve">W </w:t>
      </w:r>
      <w:r w:rsidR="00921728">
        <w:rPr>
          <w:spacing w:val="-1"/>
        </w:rPr>
        <w:t>zarysowanej</w:t>
      </w:r>
      <w:r>
        <w:rPr>
          <w:spacing w:val="-1"/>
        </w:rPr>
        <w:t xml:space="preserve"> </w:t>
      </w:r>
      <w:r w:rsidRPr="006C475A">
        <w:rPr>
          <w:spacing w:val="-1"/>
        </w:rPr>
        <w:t>sytuacj</w:t>
      </w:r>
      <w:r>
        <w:rPr>
          <w:spacing w:val="-1"/>
        </w:rPr>
        <w:t xml:space="preserve">i prawnej twórcy nowych i administratorzy już </w:t>
      </w:r>
      <w:r w:rsidRPr="006C475A">
        <w:rPr>
          <w:spacing w:val="-1"/>
        </w:rPr>
        <w:t>istniejąc</w:t>
      </w:r>
      <w:r>
        <w:rPr>
          <w:spacing w:val="-1"/>
        </w:rPr>
        <w:t xml:space="preserve">ych rejestrów </w:t>
      </w:r>
      <w:r w:rsidRPr="006C475A">
        <w:rPr>
          <w:spacing w:val="-1"/>
        </w:rPr>
        <w:t>medyczn</w:t>
      </w:r>
      <w:r>
        <w:rPr>
          <w:spacing w:val="-1"/>
        </w:rPr>
        <w:t xml:space="preserve">ych mogą nie mieć zupełnej jasności, czy mają </w:t>
      </w:r>
      <w:r w:rsidRPr="006C475A">
        <w:rPr>
          <w:spacing w:val="-1"/>
        </w:rPr>
        <w:t>się</w:t>
      </w:r>
      <w:r>
        <w:rPr>
          <w:spacing w:val="-1"/>
        </w:rPr>
        <w:t xml:space="preserve"> trzymać starszej regulacji, </w:t>
      </w:r>
      <w:r w:rsidRPr="006C475A">
        <w:rPr>
          <w:spacing w:val="-1"/>
        </w:rPr>
        <w:t>bardziej</w:t>
      </w:r>
      <w:r>
        <w:rPr>
          <w:spacing w:val="-1"/>
        </w:rPr>
        <w:t xml:space="preserve"> rygorystycznej co do wymogu anonimowości, czy też zastosować do nowych przepisów, rozluźniających </w:t>
      </w:r>
      <w:r w:rsidRPr="006C475A">
        <w:rPr>
          <w:spacing w:val="-1"/>
        </w:rPr>
        <w:t>wprawdzie</w:t>
      </w:r>
      <w:r>
        <w:rPr>
          <w:spacing w:val="-1"/>
        </w:rPr>
        <w:t xml:space="preserve"> ten wymóg, ale</w:t>
      </w:r>
      <w:r w:rsidR="00634B29">
        <w:rPr>
          <w:spacing w:val="-1"/>
        </w:rPr>
        <w:t xml:space="preserve"> za to</w:t>
      </w:r>
      <w:r>
        <w:rPr>
          <w:spacing w:val="-1"/>
        </w:rPr>
        <w:t xml:space="preserve"> wprowadzających inne, nie zawsze jasno zdefiniowane </w:t>
      </w:r>
      <w:r w:rsidR="00634B29">
        <w:rPr>
          <w:spacing w:val="-1"/>
        </w:rPr>
        <w:t>zabezpieczenia i ograniczenia</w:t>
      </w:r>
      <w:r>
        <w:rPr>
          <w:spacing w:val="-1"/>
        </w:rPr>
        <w:t xml:space="preserve">. </w:t>
      </w:r>
    </w:p>
    <w:p w:rsidR="006C475A" w:rsidRPr="00F80EE2" w:rsidRDefault="006C475A" w:rsidP="00077F67">
      <w:pPr>
        <w:rPr>
          <w:b/>
          <w:spacing w:val="-1"/>
        </w:rPr>
      </w:pPr>
      <w:r>
        <w:rPr>
          <w:spacing w:val="-1"/>
        </w:rPr>
        <w:t xml:space="preserve">Pierwsza sporna </w:t>
      </w:r>
      <w:r w:rsidRPr="006C475A">
        <w:rPr>
          <w:spacing w:val="-1"/>
        </w:rPr>
        <w:t>kwesti</w:t>
      </w:r>
      <w:r>
        <w:rPr>
          <w:spacing w:val="-1"/>
        </w:rPr>
        <w:t xml:space="preserve">a, </w:t>
      </w:r>
      <w:r w:rsidRPr="006C475A">
        <w:rPr>
          <w:spacing w:val="-1"/>
        </w:rPr>
        <w:t>związ</w:t>
      </w:r>
      <w:r>
        <w:rPr>
          <w:spacing w:val="-1"/>
        </w:rPr>
        <w:t xml:space="preserve">ana z wykorzystywaniem danych z rejestrów do celów </w:t>
      </w:r>
      <w:r w:rsidRPr="006C475A">
        <w:rPr>
          <w:spacing w:val="-1"/>
        </w:rPr>
        <w:t>badawcz</w:t>
      </w:r>
      <w:r>
        <w:rPr>
          <w:spacing w:val="-1"/>
        </w:rPr>
        <w:t xml:space="preserve">ych, dotyczy </w:t>
      </w:r>
      <w:r w:rsidRPr="006C475A">
        <w:rPr>
          <w:spacing w:val="-1"/>
        </w:rPr>
        <w:t>więc</w:t>
      </w:r>
      <w:r>
        <w:rPr>
          <w:spacing w:val="-1"/>
        </w:rPr>
        <w:t xml:space="preserve"> </w:t>
      </w:r>
      <w:r w:rsidRPr="006C475A">
        <w:rPr>
          <w:spacing w:val="-1"/>
        </w:rPr>
        <w:t>właśnie</w:t>
      </w:r>
      <w:r>
        <w:rPr>
          <w:spacing w:val="-1"/>
        </w:rPr>
        <w:t xml:space="preserve"> tej sprawy:</w:t>
      </w:r>
      <w:r w:rsidRPr="00F80EE2">
        <w:rPr>
          <w:b/>
          <w:spacing w:val="-1"/>
        </w:rPr>
        <w:t xml:space="preserve"> </w:t>
      </w:r>
      <w:r w:rsidR="00EB3E01" w:rsidRPr="00F80EE2">
        <w:rPr>
          <w:b/>
          <w:spacing w:val="-1"/>
        </w:rPr>
        <w:t xml:space="preserve">jeżeli przetwarzanie danych z rejestrów do celów badawczych jest uzasadniane spełnieniem warunku </w:t>
      </w:r>
      <w:r w:rsidR="00EB3E01" w:rsidRPr="00F80EE2">
        <w:rPr>
          <w:b/>
          <w:spacing w:val="-1"/>
          <w:szCs w:val="24"/>
        </w:rPr>
        <w:t>anonimizacj</w:t>
      </w:r>
      <w:r w:rsidR="00EB3E01" w:rsidRPr="00F80EE2">
        <w:rPr>
          <w:b/>
          <w:spacing w:val="-1"/>
        </w:rPr>
        <w:t>i, to w jaki sposób i w jakim etapie wykorzystywane dane mają być anonimizowane?</w:t>
      </w:r>
    </w:p>
    <w:p w:rsidR="00EB3E01" w:rsidRDefault="00EB3E01" w:rsidP="00077F67">
      <w:pPr>
        <w:rPr>
          <w:b/>
        </w:rPr>
      </w:pPr>
      <w:r>
        <w:rPr>
          <w:spacing w:val="-1"/>
        </w:rPr>
        <w:t xml:space="preserve">Jak </w:t>
      </w:r>
      <w:r w:rsidRPr="00EB3E01">
        <w:rPr>
          <w:spacing w:val="-1"/>
        </w:rPr>
        <w:t>jednak</w:t>
      </w:r>
      <w:r>
        <w:rPr>
          <w:spacing w:val="-1"/>
        </w:rPr>
        <w:t xml:space="preserve"> wiadomo, </w:t>
      </w:r>
      <w:r w:rsidRPr="00EB3E01">
        <w:rPr>
          <w:spacing w:val="-1"/>
        </w:rPr>
        <w:t>przetwarzani</w:t>
      </w:r>
      <w:r>
        <w:rPr>
          <w:spacing w:val="-1"/>
        </w:rPr>
        <w:t xml:space="preserve">e danych </w:t>
      </w:r>
      <w:r w:rsidRPr="00EB3E01">
        <w:rPr>
          <w:spacing w:val="-1"/>
        </w:rPr>
        <w:t>osobow</w:t>
      </w:r>
      <w:r w:rsidR="00634B29">
        <w:rPr>
          <w:spacing w:val="-1"/>
        </w:rPr>
        <w:t>ych, w</w:t>
      </w:r>
      <w:r>
        <w:rPr>
          <w:spacing w:val="-1"/>
        </w:rPr>
        <w:t xml:space="preserve"> tym </w:t>
      </w:r>
      <w:r w:rsidRPr="00EB3E01">
        <w:rPr>
          <w:spacing w:val="-1"/>
        </w:rPr>
        <w:t>również</w:t>
      </w:r>
      <w:r>
        <w:rPr>
          <w:spacing w:val="-1"/>
        </w:rPr>
        <w:t xml:space="preserve"> </w:t>
      </w:r>
      <w:r w:rsidRPr="00EB3E01">
        <w:rPr>
          <w:spacing w:val="-1"/>
        </w:rPr>
        <w:t>związ</w:t>
      </w:r>
      <w:r>
        <w:rPr>
          <w:spacing w:val="-1"/>
        </w:rPr>
        <w:t xml:space="preserve">anych ze zdrowiem, nie zawsze musi </w:t>
      </w:r>
      <w:r w:rsidRPr="00EB3E01">
        <w:rPr>
          <w:spacing w:val="-1"/>
        </w:rPr>
        <w:t>być</w:t>
      </w:r>
      <w:r>
        <w:rPr>
          <w:spacing w:val="-1"/>
        </w:rPr>
        <w:t xml:space="preserve"> </w:t>
      </w:r>
      <w:r w:rsidRPr="00EB3E01">
        <w:rPr>
          <w:spacing w:val="-1"/>
        </w:rPr>
        <w:t>usprawiedliwi</w:t>
      </w:r>
      <w:r>
        <w:rPr>
          <w:spacing w:val="-1"/>
        </w:rPr>
        <w:t xml:space="preserve">ane </w:t>
      </w:r>
      <w:r w:rsidRPr="00EB3E01">
        <w:rPr>
          <w:spacing w:val="-1"/>
        </w:rPr>
        <w:t>spełni</w:t>
      </w:r>
      <w:r>
        <w:rPr>
          <w:spacing w:val="-1"/>
        </w:rPr>
        <w:t xml:space="preserve">eniem warunku ich </w:t>
      </w:r>
      <w:r w:rsidRPr="00EB3E01">
        <w:rPr>
          <w:spacing w:val="-1"/>
          <w:szCs w:val="24"/>
        </w:rPr>
        <w:t>anonimizacj</w:t>
      </w:r>
      <w:r>
        <w:rPr>
          <w:spacing w:val="-1"/>
        </w:rPr>
        <w:t xml:space="preserve">i. </w:t>
      </w:r>
      <w:r w:rsidR="00634B29">
        <w:rPr>
          <w:spacing w:val="-1"/>
        </w:rPr>
        <w:t>Kiedy indziej</w:t>
      </w:r>
      <w:r>
        <w:rPr>
          <w:spacing w:val="-1"/>
        </w:rPr>
        <w:t xml:space="preserve"> </w:t>
      </w:r>
      <w:r w:rsidRPr="00EB3E01">
        <w:rPr>
          <w:spacing w:val="-1"/>
        </w:rPr>
        <w:t>moż</w:t>
      </w:r>
      <w:r>
        <w:rPr>
          <w:spacing w:val="-1"/>
        </w:rPr>
        <w:t xml:space="preserve">e </w:t>
      </w:r>
      <w:r w:rsidRPr="00EB3E01">
        <w:rPr>
          <w:spacing w:val="-1"/>
        </w:rPr>
        <w:t>być</w:t>
      </w:r>
      <w:r>
        <w:rPr>
          <w:spacing w:val="-1"/>
        </w:rPr>
        <w:t xml:space="preserve"> ono </w:t>
      </w:r>
      <w:r w:rsidRPr="00EB3E01">
        <w:rPr>
          <w:spacing w:val="-1"/>
        </w:rPr>
        <w:t>usprawiedliwi</w:t>
      </w:r>
      <w:r>
        <w:rPr>
          <w:spacing w:val="-1"/>
        </w:rPr>
        <w:t xml:space="preserve">ane </w:t>
      </w:r>
      <w:r w:rsidRPr="00EB3E01">
        <w:rPr>
          <w:spacing w:val="-1"/>
        </w:rPr>
        <w:t>świadom</w:t>
      </w:r>
      <w:r>
        <w:rPr>
          <w:spacing w:val="-1"/>
        </w:rPr>
        <w:t xml:space="preserve">ą zgodą osoby, której te dane dotyczą. W przywołanych polskich ustawach nie </w:t>
      </w:r>
      <w:r w:rsidRPr="00EB3E01">
        <w:rPr>
          <w:spacing w:val="-1"/>
        </w:rPr>
        <w:t>uwzględni</w:t>
      </w:r>
      <w:r>
        <w:rPr>
          <w:spacing w:val="-1"/>
        </w:rPr>
        <w:t xml:space="preserve">a </w:t>
      </w:r>
      <w:r w:rsidRPr="00EB3E01">
        <w:rPr>
          <w:spacing w:val="-1"/>
        </w:rPr>
        <w:t>się</w:t>
      </w:r>
      <w:r>
        <w:rPr>
          <w:spacing w:val="-1"/>
        </w:rPr>
        <w:t xml:space="preserve"> </w:t>
      </w:r>
      <w:r w:rsidR="00634B29">
        <w:rPr>
          <w:spacing w:val="-1"/>
        </w:rPr>
        <w:t>takich</w:t>
      </w:r>
      <w:r>
        <w:rPr>
          <w:spacing w:val="-1"/>
        </w:rPr>
        <w:t xml:space="preserve"> przypadków, </w:t>
      </w:r>
      <w:r w:rsidRPr="00EB3E01">
        <w:rPr>
          <w:spacing w:val="-1"/>
        </w:rPr>
        <w:t>ponieważ</w:t>
      </w:r>
      <w:r>
        <w:rPr>
          <w:spacing w:val="-1"/>
        </w:rPr>
        <w:t xml:space="preserve"> bierze </w:t>
      </w:r>
      <w:r w:rsidRPr="00EB3E01">
        <w:rPr>
          <w:spacing w:val="-1"/>
        </w:rPr>
        <w:t>się</w:t>
      </w:r>
      <w:r>
        <w:rPr>
          <w:spacing w:val="-1"/>
        </w:rPr>
        <w:t xml:space="preserve"> najwidocznie pod uwagę tego </w:t>
      </w:r>
      <w:r w:rsidRPr="00EB3E01">
        <w:rPr>
          <w:spacing w:val="-1"/>
        </w:rPr>
        <w:t>rodzaj</w:t>
      </w:r>
      <w:r>
        <w:rPr>
          <w:spacing w:val="-1"/>
        </w:rPr>
        <w:t xml:space="preserve">u rejestry, jak Krajowy Rejestr Nowotworów </w:t>
      </w:r>
      <w:r w:rsidRPr="00EB3E01">
        <w:rPr>
          <w:spacing w:val="-1"/>
        </w:rPr>
        <w:t>czy też</w:t>
      </w:r>
      <w:r>
        <w:rPr>
          <w:spacing w:val="-1"/>
        </w:rPr>
        <w:t xml:space="preserve"> Centralny Rejestr Chorób Zakaźnych, a </w:t>
      </w:r>
      <w:r w:rsidRPr="00EB3E01">
        <w:rPr>
          <w:spacing w:val="-1"/>
        </w:rPr>
        <w:t>zatem</w:t>
      </w:r>
      <w:r>
        <w:rPr>
          <w:spacing w:val="-1"/>
        </w:rPr>
        <w:t xml:space="preserve"> zbiory danych, do </w:t>
      </w:r>
      <w:r w:rsidRPr="00EB3E01">
        <w:rPr>
          <w:spacing w:val="-1"/>
        </w:rPr>
        <w:t>któr</w:t>
      </w:r>
      <w:r>
        <w:rPr>
          <w:spacing w:val="-1"/>
        </w:rPr>
        <w:t xml:space="preserve">ych </w:t>
      </w:r>
      <w:r w:rsidRPr="00EB3E01">
        <w:rPr>
          <w:spacing w:val="-1"/>
        </w:rPr>
        <w:t>informacj</w:t>
      </w:r>
      <w:r>
        <w:rPr>
          <w:spacing w:val="-1"/>
        </w:rPr>
        <w:t xml:space="preserve">e są przekazywane </w:t>
      </w:r>
      <w:r w:rsidRPr="00EB3E01">
        <w:rPr>
          <w:spacing w:val="-1"/>
        </w:rPr>
        <w:t>obowiąz</w:t>
      </w:r>
      <w:r>
        <w:rPr>
          <w:spacing w:val="-1"/>
        </w:rPr>
        <w:t xml:space="preserve">kowo. Nasuwa </w:t>
      </w:r>
      <w:r w:rsidRPr="00EB3E01">
        <w:rPr>
          <w:spacing w:val="-1"/>
        </w:rPr>
        <w:t>się</w:t>
      </w:r>
      <w:r>
        <w:rPr>
          <w:spacing w:val="-1"/>
        </w:rPr>
        <w:t xml:space="preserve"> </w:t>
      </w:r>
      <w:r w:rsidRPr="00EB3E01">
        <w:rPr>
          <w:spacing w:val="-1"/>
        </w:rPr>
        <w:t>jednak</w:t>
      </w:r>
      <w:r>
        <w:rPr>
          <w:spacing w:val="-1"/>
        </w:rPr>
        <w:t xml:space="preserve"> pytanie, czy tworząc inne </w:t>
      </w:r>
      <w:r w:rsidR="00F80EE2">
        <w:rPr>
          <w:spacing w:val="-1"/>
        </w:rPr>
        <w:t xml:space="preserve">rejestry </w:t>
      </w:r>
      <w:r w:rsidR="00F80EE2" w:rsidRPr="00F80EE2">
        <w:rPr>
          <w:spacing w:val="-1"/>
        </w:rPr>
        <w:t>medyczn</w:t>
      </w:r>
      <w:r w:rsidR="00F80EE2">
        <w:rPr>
          <w:spacing w:val="-1"/>
        </w:rPr>
        <w:t xml:space="preserve">e, nie </w:t>
      </w:r>
      <w:r w:rsidR="00F80EE2" w:rsidRPr="00F80EE2">
        <w:rPr>
          <w:spacing w:val="-1"/>
        </w:rPr>
        <w:t>należ</w:t>
      </w:r>
      <w:r w:rsidR="00F80EE2">
        <w:rPr>
          <w:spacing w:val="-1"/>
        </w:rPr>
        <w:t xml:space="preserve">y przewidzieć </w:t>
      </w:r>
      <w:r w:rsidR="00F80EE2" w:rsidRPr="00F80EE2">
        <w:rPr>
          <w:spacing w:val="-1"/>
        </w:rPr>
        <w:t>także</w:t>
      </w:r>
      <w:r w:rsidR="00F80EE2">
        <w:rPr>
          <w:spacing w:val="-1"/>
        </w:rPr>
        <w:t xml:space="preserve"> tego sposobu pozyskiwania gromadzonych w nich </w:t>
      </w:r>
      <w:r w:rsidR="00F80EE2" w:rsidRPr="00F80EE2">
        <w:rPr>
          <w:spacing w:val="-1"/>
        </w:rPr>
        <w:t>informacj</w:t>
      </w:r>
      <w:r w:rsidR="00F80EE2">
        <w:rPr>
          <w:spacing w:val="-1"/>
        </w:rPr>
        <w:t xml:space="preserve">i: </w:t>
      </w:r>
      <w:r w:rsidR="00F80EE2" w:rsidRPr="00F80EE2">
        <w:rPr>
          <w:b/>
        </w:rPr>
        <w:t>czy wykorzystywanie danych z rejestrów do celów badawczych może być usprawiedliwiane nie tyle anonimizacją tych danych, ile świadomą zgodą osób, których te dane dotyczą</w:t>
      </w:r>
      <w:r w:rsidR="00634B29">
        <w:rPr>
          <w:b/>
        </w:rPr>
        <w:t>?</w:t>
      </w:r>
    </w:p>
    <w:p w:rsidR="00F80EE2" w:rsidRDefault="00F80EE2" w:rsidP="00077F67">
      <w:pPr>
        <w:rPr>
          <w:b/>
        </w:rPr>
      </w:pPr>
      <w:r w:rsidRPr="00F80EE2">
        <w:t>Ale trzeba</w:t>
      </w:r>
      <w:r>
        <w:t xml:space="preserve"> też liczyć się z tym – i również RODO nie wyklucza takiej możliwości – że w odniesieniu do niektórych przy</w:t>
      </w:r>
      <w:r w:rsidR="00634B29">
        <w:t>padk</w:t>
      </w:r>
      <w:r>
        <w:t xml:space="preserve">ów przetwarzania danych z rejstrów do celów </w:t>
      </w:r>
      <w:r>
        <w:rPr>
          <w:spacing w:val="-1"/>
        </w:rPr>
        <w:t xml:space="preserve">badań </w:t>
      </w:r>
      <w:r w:rsidR="00634B29">
        <w:t xml:space="preserve"> naukowych  dychotomiczny</w:t>
      </w:r>
      <w:r>
        <w:t xml:space="preserve"> wymóg „świadoma zgoda albo pełna </w:t>
      </w:r>
      <w:r>
        <w:rPr>
          <w:szCs w:val="24"/>
        </w:rPr>
        <w:t>anonimizacj</w:t>
      </w:r>
      <w:r>
        <w:t>a” będzie zbyt rygorystyczn</w:t>
      </w:r>
      <w:r w:rsidR="0091458D">
        <w:t>y</w:t>
      </w:r>
      <w:r>
        <w:t xml:space="preserve">. Opróch dwóch kwestii sformułowanych powyżej do rozważenia jest </w:t>
      </w:r>
      <w:r w:rsidR="0091458D">
        <w:t>zatem i</w:t>
      </w:r>
      <w:r>
        <w:t xml:space="preserve"> trzecia: </w:t>
      </w:r>
      <w:r w:rsidR="0091458D" w:rsidRPr="0091458D">
        <w:rPr>
          <w:b/>
        </w:rPr>
        <w:t xml:space="preserve">czy przynajmniej w niektórych przypadkach i z zastrzeżeniem określonych środków zabezpieczających (a jeżeli tak, to jakich) nie należy dopuścić również takiego wykorzystywania danych z rejestrów do celów </w:t>
      </w:r>
      <w:r w:rsidR="0091458D" w:rsidRPr="0091458D">
        <w:rPr>
          <w:b/>
          <w:spacing w:val="-1"/>
        </w:rPr>
        <w:t xml:space="preserve">badań </w:t>
      </w:r>
      <w:r w:rsidR="0091458D" w:rsidRPr="0091458D">
        <w:rPr>
          <w:b/>
        </w:rPr>
        <w:t>naukowych, na które osoby będące „posiadaczami” owych danych nie udzieliły świadomej zgody, a które mimo to nie gwarantuje bezwzględnej niedentyfikowalności tych osób?</w:t>
      </w:r>
    </w:p>
    <w:p w:rsidR="00077F67" w:rsidRDefault="00634B29" w:rsidP="00C34251">
      <w:pPr>
        <w:jc w:val="right"/>
      </w:pPr>
      <w:r>
        <w:t>Włodzimierz Galewicz</w:t>
      </w:r>
    </w:p>
    <w:p w:rsidR="00585911" w:rsidRPr="00AE230C" w:rsidRDefault="00585911" w:rsidP="00AE230C"/>
    <w:sectPr w:rsidR="00585911" w:rsidRPr="00AE230C"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28" w:rsidRDefault="00921728" w:rsidP="00921728">
      <w:pPr>
        <w:spacing w:line="240" w:lineRule="auto"/>
      </w:pPr>
      <w:r>
        <w:separator/>
      </w:r>
    </w:p>
  </w:endnote>
  <w:endnote w:type="continuationSeparator" w:id="0">
    <w:p w:rsidR="00921728" w:rsidRDefault="00921728" w:rsidP="0092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28" w:rsidRDefault="00921728" w:rsidP="00921728">
      <w:pPr>
        <w:spacing w:line="240" w:lineRule="auto"/>
      </w:pPr>
      <w:r>
        <w:separator/>
      </w:r>
    </w:p>
  </w:footnote>
  <w:footnote w:type="continuationSeparator" w:id="0">
    <w:p w:rsidR="00921728" w:rsidRDefault="00921728" w:rsidP="009217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0C"/>
    <w:rsid w:val="00002C32"/>
    <w:rsid w:val="000135E8"/>
    <w:rsid w:val="00020E34"/>
    <w:rsid w:val="00024B3C"/>
    <w:rsid w:val="000278E6"/>
    <w:rsid w:val="00032D9D"/>
    <w:rsid w:val="000556E8"/>
    <w:rsid w:val="00062823"/>
    <w:rsid w:val="00064AB6"/>
    <w:rsid w:val="00067329"/>
    <w:rsid w:val="000731A5"/>
    <w:rsid w:val="00076C5C"/>
    <w:rsid w:val="00077F67"/>
    <w:rsid w:val="00082B79"/>
    <w:rsid w:val="000834B8"/>
    <w:rsid w:val="000A03DA"/>
    <w:rsid w:val="000A2804"/>
    <w:rsid w:val="000B3799"/>
    <w:rsid w:val="000C624A"/>
    <w:rsid w:val="000D6C0E"/>
    <w:rsid w:val="000F25C1"/>
    <w:rsid w:val="001134D1"/>
    <w:rsid w:val="001177A5"/>
    <w:rsid w:val="001267F3"/>
    <w:rsid w:val="00131436"/>
    <w:rsid w:val="00132C53"/>
    <w:rsid w:val="00133CB9"/>
    <w:rsid w:val="0013738F"/>
    <w:rsid w:val="00142FFC"/>
    <w:rsid w:val="001530A1"/>
    <w:rsid w:val="001802E2"/>
    <w:rsid w:val="00181349"/>
    <w:rsid w:val="00181E9D"/>
    <w:rsid w:val="00183F3B"/>
    <w:rsid w:val="00184AAB"/>
    <w:rsid w:val="00190ACF"/>
    <w:rsid w:val="001A26D2"/>
    <w:rsid w:val="001A7EED"/>
    <w:rsid w:val="001B17F7"/>
    <w:rsid w:val="001B4B81"/>
    <w:rsid w:val="001B5CC7"/>
    <w:rsid w:val="001D5232"/>
    <w:rsid w:val="001E1C8B"/>
    <w:rsid w:val="001E57C4"/>
    <w:rsid w:val="0021048E"/>
    <w:rsid w:val="00210F3E"/>
    <w:rsid w:val="002115C5"/>
    <w:rsid w:val="0021170B"/>
    <w:rsid w:val="00227EBB"/>
    <w:rsid w:val="00241229"/>
    <w:rsid w:val="0025203A"/>
    <w:rsid w:val="002609C6"/>
    <w:rsid w:val="00284790"/>
    <w:rsid w:val="002855CC"/>
    <w:rsid w:val="00292327"/>
    <w:rsid w:val="002A3899"/>
    <w:rsid w:val="002A5AFD"/>
    <w:rsid w:val="002C43F7"/>
    <w:rsid w:val="002E6AAC"/>
    <w:rsid w:val="003025E0"/>
    <w:rsid w:val="00304127"/>
    <w:rsid w:val="003048E3"/>
    <w:rsid w:val="00310002"/>
    <w:rsid w:val="00311E72"/>
    <w:rsid w:val="003209EE"/>
    <w:rsid w:val="00320F14"/>
    <w:rsid w:val="003237C7"/>
    <w:rsid w:val="00332645"/>
    <w:rsid w:val="003441B7"/>
    <w:rsid w:val="00352A70"/>
    <w:rsid w:val="00387307"/>
    <w:rsid w:val="003B7320"/>
    <w:rsid w:val="003C0C5B"/>
    <w:rsid w:val="003D122D"/>
    <w:rsid w:val="003E3F33"/>
    <w:rsid w:val="003E66AC"/>
    <w:rsid w:val="003F587C"/>
    <w:rsid w:val="003F5CC7"/>
    <w:rsid w:val="003F5F06"/>
    <w:rsid w:val="00402719"/>
    <w:rsid w:val="00405FA3"/>
    <w:rsid w:val="00436EAE"/>
    <w:rsid w:val="00451C13"/>
    <w:rsid w:val="0046179E"/>
    <w:rsid w:val="00465D1F"/>
    <w:rsid w:val="00474F4E"/>
    <w:rsid w:val="0048671D"/>
    <w:rsid w:val="004A1DF2"/>
    <w:rsid w:val="004A627E"/>
    <w:rsid w:val="004C4F10"/>
    <w:rsid w:val="004C5BA1"/>
    <w:rsid w:val="004F7D46"/>
    <w:rsid w:val="00501748"/>
    <w:rsid w:val="005022ED"/>
    <w:rsid w:val="00514C0E"/>
    <w:rsid w:val="005171F0"/>
    <w:rsid w:val="00522DD2"/>
    <w:rsid w:val="005378A0"/>
    <w:rsid w:val="00537B5D"/>
    <w:rsid w:val="00540984"/>
    <w:rsid w:val="00550DD0"/>
    <w:rsid w:val="005742C8"/>
    <w:rsid w:val="00585911"/>
    <w:rsid w:val="00586D82"/>
    <w:rsid w:val="005958E4"/>
    <w:rsid w:val="00596BDE"/>
    <w:rsid w:val="005A2C89"/>
    <w:rsid w:val="005A7BC3"/>
    <w:rsid w:val="005B293B"/>
    <w:rsid w:val="005D6655"/>
    <w:rsid w:val="005E2851"/>
    <w:rsid w:val="005F0666"/>
    <w:rsid w:val="005F46A8"/>
    <w:rsid w:val="005F566F"/>
    <w:rsid w:val="00611123"/>
    <w:rsid w:val="00611582"/>
    <w:rsid w:val="00613956"/>
    <w:rsid w:val="00615703"/>
    <w:rsid w:val="00616FE6"/>
    <w:rsid w:val="0062652F"/>
    <w:rsid w:val="006313F1"/>
    <w:rsid w:val="00634B29"/>
    <w:rsid w:val="006373A5"/>
    <w:rsid w:val="00644256"/>
    <w:rsid w:val="0065144C"/>
    <w:rsid w:val="00660DBA"/>
    <w:rsid w:val="00664BCB"/>
    <w:rsid w:val="00665972"/>
    <w:rsid w:val="006661D5"/>
    <w:rsid w:val="00683017"/>
    <w:rsid w:val="00687DCA"/>
    <w:rsid w:val="00692BDD"/>
    <w:rsid w:val="006956E4"/>
    <w:rsid w:val="006A4AE5"/>
    <w:rsid w:val="006B1ED0"/>
    <w:rsid w:val="006B2A8B"/>
    <w:rsid w:val="006B31F6"/>
    <w:rsid w:val="006C475A"/>
    <w:rsid w:val="006D7752"/>
    <w:rsid w:val="006E3494"/>
    <w:rsid w:val="006E5A2F"/>
    <w:rsid w:val="006E71C5"/>
    <w:rsid w:val="006F24DC"/>
    <w:rsid w:val="006F2CC1"/>
    <w:rsid w:val="006F6902"/>
    <w:rsid w:val="00704056"/>
    <w:rsid w:val="00711D1F"/>
    <w:rsid w:val="007120EB"/>
    <w:rsid w:val="0072275A"/>
    <w:rsid w:val="0072639F"/>
    <w:rsid w:val="00730954"/>
    <w:rsid w:val="007474A0"/>
    <w:rsid w:val="00753451"/>
    <w:rsid w:val="00757530"/>
    <w:rsid w:val="007600C0"/>
    <w:rsid w:val="00762F90"/>
    <w:rsid w:val="00790D06"/>
    <w:rsid w:val="007963A6"/>
    <w:rsid w:val="007A0999"/>
    <w:rsid w:val="007C3EA2"/>
    <w:rsid w:val="007D14DE"/>
    <w:rsid w:val="007D5D53"/>
    <w:rsid w:val="007E3E6B"/>
    <w:rsid w:val="007F6DB2"/>
    <w:rsid w:val="00803520"/>
    <w:rsid w:val="00823F67"/>
    <w:rsid w:val="00832418"/>
    <w:rsid w:val="00840CE9"/>
    <w:rsid w:val="00857D35"/>
    <w:rsid w:val="008625A7"/>
    <w:rsid w:val="008705EB"/>
    <w:rsid w:val="00875322"/>
    <w:rsid w:val="00881003"/>
    <w:rsid w:val="008911D3"/>
    <w:rsid w:val="008A36D7"/>
    <w:rsid w:val="008C643D"/>
    <w:rsid w:val="008E627F"/>
    <w:rsid w:val="008E6C18"/>
    <w:rsid w:val="008F25A8"/>
    <w:rsid w:val="009133D1"/>
    <w:rsid w:val="0091458D"/>
    <w:rsid w:val="00921728"/>
    <w:rsid w:val="0092338E"/>
    <w:rsid w:val="00944CD1"/>
    <w:rsid w:val="00947ED0"/>
    <w:rsid w:val="009633E7"/>
    <w:rsid w:val="00965324"/>
    <w:rsid w:val="0096778F"/>
    <w:rsid w:val="00971953"/>
    <w:rsid w:val="00971A5F"/>
    <w:rsid w:val="00977644"/>
    <w:rsid w:val="00983F75"/>
    <w:rsid w:val="009A43D1"/>
    <w:rsid w:val="009B1DAB"/>
    <w:rsid w:val="009C281B"/>
    <w:rsid w:val="009C3288"/>
    <w:rsid w:val="009F32D9"/>
    <w:rsid w:val="00A236E4"/>
    <w:rsid w:val="00A247E0"/>
    <w:rsid w:val="00A311B3"/>
    <w:rsid w:val="00A50BFC"/>
    <w:rsid w:val="00A61CA1"/>
    <w:rsid w:val="00A7331D"/>
    <w:rsid w:val="00A75272"/>
    <w:rsid w:val="00A9356D"/>
    <w:rsid w:val="00A9436A"/>
    <w:rsid w:val="00AA18D6"/>
    <w:rsid w:val="00AD6160"/>
    <w:rsid w:val="00AE230C"/>
    <w:rsid w:val="00AE28A5"/>
    <w:rsid w:val="00AE2AE2"/>
    <w:rsid w:val="00AE708F"/>
    <w:rsid w:val="00AF3FCF"/>
    <w:rsid w:val="00AF7394"/>
    <w:rsid w:val="00B15C8B"/>
    <w:rsid w:val="00B24D61"/>
    <w:rsid w:val="00B277B2"/>
    <w:rsid w:val="00B40198"/>
    <w:rsid w:val="00B53B45"/>
    <w:rsid w:val="00B633D4"/>
    <w:rsid w:val="00B73F85"/>
    <w:rsid w:val="00B7672D"/>
    <w:rsid w:val="00B858FE"/>
    <w:rsid w:val="00B94FEB"/>
    <w:rsid w:val="00BA75F9"/>
    <w:rsid w:val="00BB2194"/>
    <w:rsid w:val="00BC47E9"/>
    <w:rsid w:val="00BD0FA1"/>
    <w:rsid w:val="00BD19CA"/>
    <w:rsid w:val="00BD45E4"/>
    <w:rsid w:val="00BD4B1C"/>
    <w:rsid w:val="00BD6671"/>
    <w:rsid w:val="00BE2AF3"/>
    <w:rsid w:val="00BE2D12"/>
    <w:rsid w:val="00C06577"/>
    <w:rsid w:val="00C22A4D"/>
    <w:rsid w:val="00C22AB6"/>
    <w:rsid w:val="00C34251"/>
    <w:rsid w:val="00C402F1"/>
    <w:rsid w:val="00C50EFD"/>
    <w:rsid w:val="00C656C7"/>
    <w:rsid w:val="00C84013"/>
    <w:rsid w:val="00C96DBA"/>
    <w:rsid w:val="00C96F95"/>
    <w:rsid w:val="00CB0C63"/>
    <w:rsid w:val="00CC5EF6"/>
    <w:rsid w:val="00CC69CD"/>
    <w:rsid w:val="00CF612D"/>
    <w:rsid w:val="00D040BA"/>
    <w:rsid w:val="00D32C4C"/>
    <w:rsid w:val="00D340CE"/>
    <w:rsid w:val="00D34E08"/>
    <w:rsid w:val="00D356F3"/>
    <w:rsid w:val="00D421BB"/>
    <w:rsid w:val="00D47D94"/>
    <w:rsid w:val="00D50BF1"/>
    <w:rsid w:val="00D74E78"/>
    <w:rsid w:val="00D86282"/>
    <w:rsid w:val="00DA5AF9"/>
    <w:rsid w:val="00DA5BAD"/>
    <w:rsid w:val="00DC41EF"/>
    <w:rsid w:val="00DC50B0"/>
    <w:rsid w:val="00DC5C04"/>
    <w:rsid w:val="00DD4932"/>
    <w:rsid w:val="00DD65DE"/>
    <w:rsid w:val="00DD6F33"/>
    <w:rsid w:val="00DF619F"/>
    <w:rsid w:val="00E135FA"/>
    <w:rsid w:val="00E171F6"/>
    <w:rsid w:val="00E2116D"/>
    <w:rsid w:val="00E2491F"/>
    <w:rsid w:val="00E25549"/>
    <w:rsid w:val="00E25D9C"/>
    <w:rsid w:val="00E311B5"/>
    <w:rsid w:val="00E31AD1"/>
    <w:rsid w:val="00E34FB1"/>
    <w:rsid w:val="00E4196A"/>
    <w:rsid w:val="00E42EB0"/>
    <w:rsid w:val="00E50CDE"/>
    <w:rsid w:val="00E518CB"/>
    <w:rsid w:val="00E70F17"/>
    <w:rsid w:val="00E8540B"/>
    <w:rsid w:val="00EB3E01"/>
    <w:rsid w:val="00ED0E58"/>
    <w:rsid w:val="00EF714F"/>
    <w:rsid w:val="00F01B05"/>
    <w:rsid w:val="00F21488"/>
    <w:rsid w:val="00F26EFB"/>
    <w:rsid w:val="00F31712"/>
    <w:rsid w:val="00F32276"/>
    <w:rsid w:val="00F40CD3"/>
    <w:rsid w:val="00F773A7"/>
    <w:rsid w:val="00F80EE2"/>
    <w:rsid w:val="00F82C14"/>
    <w:rsid w:val="00F85922"/>
    <w:rsid w:val="00F90ACB"/>
    <w:rsid w:val="00F90DB4"/>
    <w:rsid w:val="00F916B5"/>
    <w:rsid w:val="00FA094D"/>
    <w:rsid w:val="00FB2289"/>
    <w:rsid w:val="00FC6A7A"/>
    <w:rsid w:val="00FD31CF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3033B-321B-48E8-9F8E-3F013531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30C"/>
    <w:pPr>
      <w:spacing w:line="360" w:lineRule="auto"/>
      <w:ind w:firstLine="567"/>
    </w:pPr>
    <w:rPr>
      <w:noProof/>
      <w:sz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728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728"/>
    <w:rPr>
      <w:noProof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17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Dokumenty\0%200\PL-STAN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527D-2B25-42EA-97CC-CD6EC791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PL-STAND</Template>
  <TotalTime>6</TotalTime>
  <Pages>2</Pages>
  <Words>708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UNIVERSITÄT FREIBURG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2019-10-31T09:58:00Z</dcterms:created>
  <dcterms:modified xsi:type="dcterms:W3CDTF">2019-10-31T10:04:00Z</dcterms:modified>
</cp:coreProperties>
</file>